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5FC3" w14:textId="77777777" w:rsidR="00AF4F24" w:rsidRPr="00AF4F24" w:rsidRDefault="00AF4F24" w:rsidP="00616B4F">
      <w:pPr>
        <w:spacing w:before="240" w:after="240"/>
        <w:jc w:val="right"/>
        <w:rPr>
          <w:rFonts w:ascii="Aptos" w:eastAsia="Aptos" w:hAnsi="Aptos" w:cs="Aptos"/>
          <w:b/>
          <w:bCs/>
        </w:rPr>
      </w:pPr>
      <w:r w:rsidRPr="00AF4F24">
        <w:rPr>
          <w:rFonts w:ascii="Aptos" w:eastAsia="Aptos" w:hAnsi="Aptos" w:cs="Aptos"/>
          <w:b/>
          <w:bCs/>
        </w:rPr>
        <w:t>Practice Letterhead</w:t>
      </w:r>
    </w:p>
    <w:p w14:paraId="02AE6A26" w14:textId="77777777" w:rsidR="00AF4F24" w:rsidRPr="00AF4F24" w:rsidRDefault="00AF4F24" w:rsidP="00AF4F24">
      <w:pPr>
        <w:spacing w:before="240" w:after="240"/>
        <w:rPr>
          <w:rFonts w:ascii="Aptos" w:eastAsia="Aptos" w:hAnsi="Aptos" w:cs="Aptos"/>
          <w:b/>
          <w:bCs/>
        </w:rPr>
      </w:pPr>
    </w:p>
    <w:p w14:paraId="1FECDBA0" w14:textId="77777777" w:rsidR="00616B4F" w:rsidRDefault="00616B4F" w:rsidP="00AF4F24">
      <w:pPr>
        <w:spacing w:before="240" w:after="240"/>
        <w:rPr>
          <w:rFonts w:ascii="Aptos" w:eastAsia="Aptos" w:hAnsi="Aptos" w:cs="Aptos"/>
          <w:b/>
          <w:bCs/>
        </w:rPr>
      </w:pPr>
    </w:p>
    <w:p w14:paraId="762687A3" w14:textId="79F0A4BD" w:rsidR="00AF4F24" w:rsidRDefault="00AF4F24" w:rsidP="00AF4F24">
      <w:pPr>
        <w:spacing w:before="240" w:after="240"/>
        <w:rPr>
          <w:rFonts w:ascii="Aptos" w:eastAsia="Aptos" w:hAnsi="Aptos" w:cs="Aptos"/>
          <w:b/>
          <w:bCs/>
        </w:rPr>
      </w:pPr>
      <w:r w:rsidRPr="00AF4F24">
        <w:rPr>
          <w:rFonts w:ascii="Aptos" w:eastAsia="Aptos" w:hAnsi="Aptos" w:cs="Aptos"/>
          <w:b/>
          <w:bCs/>
        </w:rPr>
        <w:t>Dear [Recipient's Name],</w:t>
      </w:r>
    </w:p>
    <w:p w14:paraId="57C1A009" w14:textId="3F2E6815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  <w:b/>
          <w:bCs/>
        </w:rPr>
        <w:t>Re:</w:t>
      </w:r>
      <w:r w:rsidRPr="3A3D905A">
        <w:rPr>
          <w:rFonts w:ascii="Aptos" w:eastAsia="Aptos" w:hAnsi="Aptos" w:cs="Aptos"/>
        </w:rPr>
        <w:t xml:space="preserve"> Referral Processes for Patients Exercising the Right to Choose</w:t>
      </w:r>
    </w:p>
    <w:p w14:paraId="4F7B1CF0" w14:textId="12A89297" w:rsidR="00BB1758" w:rsidRDefault="72DBE616" w:rsidP="3A3D905A">
      <w:pPr>
        <w:spacing w:before="240" w:after="240"/>
      </w:pPr>
      <w:r w:rsidRPr="3A3D905A">
        <w:rPr>
          <w:rFonts w:ascii="Aptos" w:eastAsia="Aptos" w:hAnsi="Aptos" w:cs="Aptos"/>
        </w:rPr>
        <w:t xml:space="preserve">We wish to clarify our Practice position on utilising online portals for referral, as supported by Surrey and Sussex LMCs. </w:t>
      </w:r>
    </w:p>
    <w:p w14:paraId="1BD31CEE" w14:textId="19C36E27" w:rsidR="00BB1758" w:rsidRDefault="6F73C3F1" w:rsidP="3A3D905A">
      <w:p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 xml:space="preserve">General practices are committed to supporting patient choice and to ensuring safe, timely, and clinically appropriate referrals to all commissioned providers. However, we have received increasing requests from providers asking </w:t>
      </w:r>
      <w:r w:rsidR="6E87EDD9" w:rsidRPr="3A3D905A">
        <w:rPr>
          <w:rFonts w:ascii="Aptos" w:eastAsia="Aptos" w:hAnsi="Aptos" w:cs="Aptos"/>
        </w:rPr>
        <w:t xml:space="preserve">us </w:t>
      </w:r>
      <w:r w:rsidRPr="3A3D905A">
        <w:rPr>
          <w:rFonts w:ascii="Aptos" w:eastAsia="Aptos" w:hAnsi="Aptos" w:cs="Aptos"/>
        </w:rPr>
        <w:t>to register fo</w:t>
      </w:r>
      <w:r w:rsidR="04C61D63" w:rsidRPr="3A3D905A">
        <w:rPr>
          <w:rFonts w:ascii="Aptos" w:eastAsia="Aptos" w:hAnsi="Aptos" w:cs="Aptos"/>
        </w:rPr>
        <w:t xml:space="preserve">r </w:t>
      </w:r>
      <w:r w:rsidRPr="3A3D905A">
        <w:rPr>
          <w:rFonts w:ascii="Aptos" w:eastAsia="Aptos" w:hAnsi="Aptos" w:cs="Aptos"/>
        </w:rPr>
        <w:t>and utilise multiple proprietary online referral portals that do not integrate with NHS clinical systems and do not allow automatic population of clinical information.</w:t>
      </w:r>
    </w:p>
    <w:p w14:paraId="444DC577" w14:textId="3427EA06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  <w:b/>
          <w:bCs/>
        </w:rPr>
        <w:t>1. Core Responsibility: Safe Clinical Handover</w:t>
      </w:r>
    </w:p>
    <w:p w14:paraId="0985BA2A" w14:textId="11A333BE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The professional and contractual responsibility of general practice is to ensure a safe clinical handover of care. This is achieved through the provision of a comprehensive referral letter containing the relevant clinical information, history, and supporting documentation.</w:t>
      </w:r>
    </w:p>
    <w:p w14:paraId="3789233B" w14:textId="46B51F86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This remains the standard and appropriate method of referral unless a nationally commissioned, interoperable NHS system is specified.</w:t>
      </w:r>
    </w:p>
    <w:p w14:paraId="2B57E6FB" w14:textId="294DD6A2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  <w:b/>
          <w:bCs/>
        </w:rPr>
        <w:t>2. System Integration and Information Governance</w:t>
      </w:r>
    </w:p>
    <w:p w14:paraId="10244039" w14:textId="4D2FA8F0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Many third-party portals currently in use require manual data entry and duplication of clinical information outside of NHS clinical systems. This introduces:</w:t>
      </w:r>
    </w:p>
    <w:p w14:paraId="4F24131B" w14:textId="424D3F1D" w:rsidR="00BB1758" w:rsidRDefault="6F73C3F1" w:rsidP="3A3D905A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Additional administrative burden and clinical risk</w:t>
      </w:r>
    </w:p>
    <w:p w14:paraId="0889F375" w14:textId="223CEC34" w:rsidR="00BB1758" w:rsidRDefault="6F73C3F1" w:rsidP="3A3D905A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Potential information governance concerns</w:t>
      </w:r>
    </w:p>
    <w:p w14:paraId="38ADB819" w14:textId="576E825A" w:rsidR="00BB1758" w:rsidRDefault="6F73C3F1" w:rsidP="3A3D905A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Increased likelihood of transcription errors</w:t>
      </w:r>
    </w:p>
    <w:p w14:paraId="1F01FFF1" w14:textId="0D0DCD54" w:rsidR="00BB1758" w:rsidRDefault="6F73C3F1" w:rsidP="3A3D905A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Inefficient use of NHS clinical time and resources</w:t>
      </w:r>
    </w:p>
    <w:p w14:paraId="5B495805" w14:textId="58B6CBB6" w:rsidR="00BB1758" w:rsidRDefault="6F73C3F1" w:rsidP="3A3D905A">
      <w:p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Practices are not resourced, commissioned, or contractually obliged to maintain access to multiple external systems that do not integrate with established NHS workflows.</w:t>
      </w:r>
    </w:p>
    <w:p w14:paraId="3FEACDAA" w14:textId="77777777" w:rsidR="00616B4F" w:rsidRDefault="00616B4F" w:rsidP="3A3D905A">
      <w:pPr>
        <w:spacing w:before="240" w:after="240"/>
      </w:pPr>
    </w:p>
    <w:p w14:paraId="61426F14" w14:textId="423BFE3F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  <w:b/>
          <w:bCs/>
        </w:rPr>
        <w:lastRenderedPageBreak/>
        <w:t>3. Contractual and Operational Position</w:t>
      </w:r>
    </w:p>
    <w:p w14:paraId="69B949C8" w14:textId="25D9AA33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GP practices are independent contractors operating within defined contractual frameworks. There is no contractual requirement for practices to:</w:t>
      </w:r>
    </w:p>
    <w:p w14:paraId="4AE6631C" w14:textId="5B7A58C5" w:rsidR="00BB1758" w:rsidRDefault="6F73C3F1" w:rsidP="3A3D905A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Register for or maintain accounts on multiple provider-specific portals</w:t>
      </w:r>
    </w:p>
    <w:p w14:paraId="0F5B8676" w14:textId="1C96FC9E" w:rsidR="00BB1758" w:rsidRDefault="6F73C3F1" w:rsidP="3A3D905A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Re-enter clinical data into non-integrated systems</w:t>
      </w:r>
    </w:p>
    <w:p w14:paraId="1EB0234D" w14:textId="17FBB43A" w:rsidR="00BB1758" w:rsidRDefault="6F73C3F1" w:rsidP="3A3D905A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Undertake additional administrative steps beyond producing a safe and clinically appropriate referral</w:t>
      </w:r>
    </w:p>
    <w:p w14:paraId="3FFF1392" w14:textId="5D46A286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Accordingly, practices cannot be required to use a specific portal as a condition of accepting a referral.</w:t>
      </w:r>
    </w:p>
    <w:p w14:paraId="1B01F631" w14:textId="59D225EA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  <w:b/>
          <w:bCs/>
        </w:rPr>
        <w:t>4. Referral Method</w:t>
      </w:r>
    </w:p>
    <w:p w14:paraId="3B7D0B67" w14:textId="5DCC6D9E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Our policy is that referrals will be made via one of the following standard mechanisms:</w:t>
      </w:r>
    </w:p>
    <w:p w14:paraId="325CECE7" w14:textId="4D5536F0" w:rsidR="00BB1758" w:rsidRDefault="6F73C3F1" w:rsidP="3A3D905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NHS e-Referral Service (e-RS), where available</w:t>
      </w:r>
    </w:p>
    <w:p w14:paraId="30FBDC96" w14:textId="4ECAB7B9" w:rsidR="00BB1758" w:rsidRDefault="6F73C3F1" w:rsidP="3A3D905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Secure NHS email</w:t>
      </w:r>
    </w:p>
    <w:p w14:paraId="7C7A33E1" w14:textId="67078B45" w:rsidR="00BB1758" w:rsidRDefault="6F73C3F1" w:rsidP="3A3D905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Other nationally recognised interoperable systems</w:t>
      </w:r>
    </w:p>
    <w:p w14:paraId="4607AB88" w14:textId="65AEBDBD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A structured referral letter will be provided to ensure safe transfer of clinical responsibility.</w:t>
      </w:r>
    </w:p>
    <w:p w14:paraId="514E1E67" w14:textId="13F324A4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If your organisation requires additional administrative steps beyond receipt of a referral letter, these processes must be managed within your own service infrastructure and should not rely on additional work by referring GP practices.</w:t>
      </w:r>
    </w:p>
    <w:p w14:paraId="0B2E6D8B" w14:textId="2E96256B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  <w:b/>
          <w:bCs/>
        </w:rPr>
        <w:t>Summary</w:t>
      </w:r>
    </w:p>
    <w:p w14:paraId="21312992" w14:textId="0FD3ECAE" w:rsidR="00BB1758" w:rsidRDefault="64C1F03F" w:rsidP="3A3D905A">
      <w:pPr>
        <w:spacing w:before="240" w:after="240"/>
      </w:pPr>
      <w:r w:rsidRPr="3A3D905A">
        <w:rPr>
          <w:rFonts w:ascii="Aptos" w:eastAsia="Aptos" w:hAnsi="Aptos" w:cs="Aptos"/>
        </w:rPr>
        <w:t>We</w:t>
      </w:r>
      <w:r w:rsidR="6F73C3F1" w:rsidRPr="3A3D905A">
        <w:rPr>
          <w:rFonts w:ascii="Aptos" w:eastAsia="Aptos" w:hAnsi="Aptos" w:cs="Aptos"/>
        </w:rPr>
        <w:t xml:space="preserve"> will continue to:</w:t>
      </w:r>
    </w:p>
    <w:p w14:paraId="6C04C50B" w14:textId="23FA19E1" w:rsidR="00BB1758" w:rsidRDefault="6F73C3F1" w:rsidP="3A3D905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Support patients exercising their Right to Choose</w:t>
      </w:r>
    </w:p>
    <w:p w14:paraId="675E0AB2" w14:textId="47BB6F77" w:rsidR="00BB1758" w:rsidRDefault="6F73C3F1" w:rsidP="3A3D905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Provide timely and clinically appropriate referral letters</w:t>
      </w:r>
    </w:p>
    <w:p w14:paraId="58956B84" w14:textId="09C371B4" w:rsidR="00BB1758" w:rsidRDefault="6F73C3F1" w:rsidP="3A3D905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A3D905A">
        <w:rPr>
          <w:rFonts w:ascii="Aptos" w:eastAsia="Aptos" w:hAnsi="Aptos" w:cs="Aptos"/>
        </w:rPr>
        <w:t>Ensure safe handover of care</w:t>
      </w:r>
    </w:p>
    <w:p w14:paraId="5D11F4CC" w14:textId="363C66DF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 xml:space="preserve">However, </w:t>
      </w:r>
      <w:r w:rsidR="53DD62DA" w:rsidRPr="3A3D905A">
        <w:rPr>
          <w:rFonts w:ascii="Aptos" w:eastAsia="Aptos" w:hAnsi="Aptos" w:cs="Aptos"/>
        </w:rPr>
        <w:t xml:space="preserve">we </w:t>
      </w:r>
      <w:r w:rsidRPr="3A3D905A">
        <w:rPr>
          <w:rFonts w:ascii="Aptos" w:eastAsia="Aptos" w:hAnsi="Aptos" w:cs="Aptos"/>
        </w:rPr>
        <w:t>will not be required to engage with multiple non-integrated referral portals as a prerequisite for referral acceptance.</w:t>
      </w:r>
    </w:p>
    <w:p w14:paraId="0A8B534B" w14:textId="4F787513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Thank you for your understanding and cooperation in supporting safe, efficient, and sustainable patient care.</w:t>
      </w:r>
    </w:p>
    <w:p w14:paraId="7B47CF9A" w14:textId="186F9069" w:rsidR="00BB1758" w:rsidRDefault="6F73C3F1" w:rsidP="3A3D905A">
      <w:pPr>
        <w:spacing w:before="240" w:after="240"/>
      </w:pPr>
      <w:r w:rsidRPr="3A3D905A">
        <w:rPr>
          <w:rFonts w:ascii="Aptos" w:eastAsia="Aptos" w:hAnsi="Aptos" w:cs="Aptos"/>
        </w:rPr>
        <w:t>Yours sincerely,</w:t>
      </w:r>
    </w:p>
    <w:p w14:paraId="5E5787A5" w14:textId="32D0153F" w:rsidR="00BB1758" w:rsidRDefault="00AF4F24">
      <w:r>
        <w:t>[Your practice name]</w:t>
      </w:r>
    </w:p>
    <w:sectPr w:rsidR="00BB17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7903"/>
    <w:multiLevelType w:val="hybridMultilevel"/>
    <w:tmpl w:val="4EC40828"/>
    <w:lvl w:ilvl="0" w:tplc="32566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4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09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8D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4D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0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69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03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46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9D3"/>
    <w:multiLevelType w:val="hybridMultilevel"/>
    <w:tmpl w:val="AB8E1B58"/>
    <w:lvl w:ilvl="0" w:tplc="80666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C0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C1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A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5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F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4C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C1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02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B1959"/>
    <w:multiLevelType w:val="hybridMultilevel"/>
    <w:tmpl w:val="997E2526"/>
    <w:lvl w:ilvl="0" w:tplc="8B0E0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0F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AB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29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4A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4E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2D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EE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AB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A13D"/>
    <w:multiLevelType w:val="hybridMultilevel"/>
    <w:tmpl w:val="1794C91E"/>
    <w:lvl w:ilvl="0" w:tplc="F75E5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06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26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40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64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60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02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67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6373">
    <w:abstractNumId w:val="1"/>
  </w:num>
  <w:num w:numId="2" w16cid:durableId="1155874192">
    <w:abstractNumId w:val="2"/>
  </w:num>
  <w:num w:numId="3" w16cid:durableId="764691605">
    <w:abstractNumId w:val="0"/>
  </w:num>
  <w:num w:numId="4" w16cid:durableId="679431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AA13B"/>
    <w:rsid w:val="00120A25"/>
    <w:rsid w:val="00333430"/>
    <w:rsid w:val="00616B4F"/>
    <w:rsid w:val="00A70BAE"/>
    <w:rsid w:val="00AF4F24"/>
    <w:rsid w:val="00BB1758"/>
    <w:rsid w:val="04C61D63"/>
    <w:rsid w:val="171D35B4"/>
    <w:rsid w:val="1720DA13"/>
    <w:rsid w:val="1C8D4B28"/>
    <w:rsid w:val="37027D83"/>
    <w:rsid w:val="3A3D905A"/>
    <w:rsid w:val="53DD62DA"/>
    <w:rsid w:val="5A9AA13B"/>
    <w:rsid w:val="634E64C4"/>
    <w:rsid w:val="64C1F03F"/>
    <w:rsid w:val="6E87EDD9"/>
    <w:rsid w:val="6F73C3F1"/>
    <w:rsid w:val="72DBE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A13B"/>
  <w15:chartTrackingRefBased/>
  <w15:docId w15:val="{CC57A57B-E18E-41F4-8821-ED7381D6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A3D9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3196DE4D56A4180C3D9913A0789E1" ma:contentTypeVersion="18" ma:contentTypeDescription="Create a new document." ma:contentTypeScope="" ma:versionID="519c5f5fe20763f108b66be9f60f0861">
  <xsd:schema xmlns:xsd="http://www.w3.org/2001/XMLSchema" xmlns:xs="http://www.w3.org/2001/XMLSchema" xmlns:p="http://schemas.microsoft.com/office/2006/metadata/properties" xmlns:ns2="ef2c2b90-f14d-43ad-9e53-e2f43f45e433" xmlns:ns3="f69dea23-9165-49ac-916f-9eee5977356b" targetNamespace="http://schemas.microsoft.com/office/2006/metadata/properties" ma:root="true" ma:fieldsID="71df658d131043049471e151447efecf" ns2:_="" ns3:_="">
    <xsd:import namespace="ef2c2b90-f14d-43ad-9e53-e2f43f45e433"/>
    <xsd:import namespace="f69dea23-9165-49ac-916f-9eee59773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Website" minOccurs="0"/>
                <xsd:element ref="ns2:WebsitePriority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c2b90-f14d-43ad-9e53-e2f43f45e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7076ea-0dd9-482a-92ee-3b401c309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Website" ma:index="20" nillable="true" ma:displayName="Website Actions" ma:description="This column describes if the file is in review, approved or not approved for the website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Review"/>
                        <xsd:enumeration value="Sent for Sign-off"/>
                        <xsd:enumeration value="Ready for upload"/>
                        <xsd:enumeration value="On Website"/>
                        <xsd:enumeration value="Archiv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WebsitePriority" ma:index="21" nillable="true" ma:displayName="Priority" ma:decimals="0" ma:description="This column allows us to describe whether thie document needs to be reviewed:&#10;&#10;1= first to review&#10;2= second to review&#10;3= third to review" ma:format="Dropdown" ma:internalName="WebsitePriority" ma:percentage="FALSE">
      <xsd:simpleType>
        <xsd:restriction base="dms:Number">
          <xsd:maxInclusive value="3"/>
          <xsd:minInclusive value="1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ea23-9165-49ac-916f-9eee597735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aa0b1-2bf3-42e8-8dec-722ba2114069}" ma:internalName="TaxCatchAll" ma:showField="CatchAllData" ma:web="f69dea23-9165-49ac-916f-9eee59773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Priority xmlns="ef2c2b90-f14d-43ad-9e53-e2f43f45e433" xsi:nil="true"/>
    <_Flow_SignoffStatus xmlns="ef2c2b90-f14d-43ad-9e53-e2f43f45e433" xsi:nil="true"/>
    <Website xmlns="ef2c2b90-f14d-43ad-9e53-e2f43f45e433" xsi:nil="true"/>
    <TaxCatchAll xmlns="f69dea23-9165-49ac-916f-9eee5977356b" xsi:nil="true"/>
    <lcf76f155ced4ddcb4097134ff3c332f xmlns="ef2c2b90-f14d-43ad-9e53-e2f43f45e4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9982B-E70B-4135-8F48-C43869DE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c2b90-f14d-43ad-9e53-e2f43f45e433"/>
    <ds:schemaRef ds:uri="f69dea23-9165-49ac-916f-9eee5977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A61CD-E142-43C9-8214-F798DAD50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094C6-E673-487B-A8B0-DECC3657130C}">
  <ds:schemaRefs>
    <ds:schemaRef ds:uri="http://schemas.microsoft.com/office/2006/metadata/properties"/>
    <ds:schemaRef ds:uri="http://schemas.microsoft.com/office/infopath/2007/PartnerControls"/>
    <ds:schemaRef ds:uri="ef2c2b90-f14d-43ad-9e53-e2f43f45e433"/>
    <ds:schemaRef ds:uri="f69dea23-9165-49ac-916f-9eee5977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2763</Characters>
  <Application>Microsoft Office Word</Application>
  <DocSecurity>0</DocSecurity>
  <Lines>60</Lines>
  <Paragraphs>37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Anderson</dc:creator>
  <cp:keywords/>
  <dc:description/>
  <cp:lastModifiedBy>Sarah Parsons</cp:lastModifiedBy>
  <cp:revision>5</cp:revision>
  <dcterms:created xsi:type="dcterms:W3CDTF">2026-04-02T13:06:00Z</dcterms:created>
  <dcterms:modified xsi:type="dcterms:W3CDTF">2026-04-02T14:33:00Z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0x01010021A3196DE4D56A4180C3D9913A0789E1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