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9AB3" w14:textId="1678FE88" w:rsidR="008E3EA9" w:rsidRDefault="008E3EA9" w:rsidP="008E3EA9">
      <w:pPr>
        <w:jc w:val="right"/>
        <w:rPr>
          <w:rFonts w:ascii="Bliss 2 Light" w:hAnsi="Bliss 2 Light"/>
          <w:b/>
          <w:bCs/>
          <w:sz w:val="24"/>
          <w:szCs w:val="24"/>
        </w:rPr>
      </w:pPr>
      <w:r>
        <w:rPr>
          <w:noProof/>
          <w:lang w:eastAsia="en-GB"/>
        </w:rPr>
        <w:drawing>
          <wp:inline distT="0" distB="0" distL="0" distR="0" wp14:anchorId="3AC95AE2" wp14:editId="59B061C6">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5BBB089D" w14:textId="0692C95D" w:rsidR="00B45AC7" w:rsidRPr="008E3EA9" w:rsidRDefault="008E3EA9">
      <w:pPr>
        <w:rPr>
          <w:rFonts w:ascii="Bliss 2 Light" w:hAnsi="Bliss 2 Light"/>
          <w:b/>
          <w:bCs/>
          <w:sz w:val="24"/>
          <w:szCs w:val="24"/>
        </w:rPr>
      </w:pPr>
      <w:r w:rsidRPr="008E3EA9">
        <w:rPr>
          <w:rFonts w:ascii="Bliss 2 Light" w:hAnsi="Bliss 2 Light"/>
          <w:b/>
          <w:bCs/>
          <w:sz w:val="24"/>
          <w:szCs w:val="24"/>
        </w:rPr>
        <w:t>To all Surrey and Sussex LMCs practices</w:t>
      </w:r>
    </w:p>
    <w:p w14:paraId="00644B76" w14:textId="299FF28B" w:rsidR="00B45AC7" w:rsidRDefault="00272FC5" w:rsidP="00B45AC7">
      <w:pPr>
        <w:spacing w:after="0" w:line="240" w:lineRule="auto"/>
        <w:jc w:val="right"/>
        <w:rPr>
          <w:rFonts w:ascii="Bliss 2 Light" w:hAnsi="Bliss 2 Light"/>
          <w:sz w:val="24"/>
          <w:szCs w:val="24"/>
        </w:rPr>
      </w:pPr>
      <w:r>
        <w:rPr>
          <w:rFonts w:ascii="Bliss 2 Light" w:hAnsi="Bliss 2 Light"/>
          <w:sz w:val="24"/>
          <w:szCs w:val="24"/>
        </w:rPr>
        <w:t>1</w:t>
      </w:r>
      <w:r w:rsidR="008E3EA9">
        <w:rPr>
          <w:rFonts w:ascii="Bliss 2 Light" w:hAnsi="Bliss 2 Light"/>
          <w:sz w:val="24"/>
          <w:szCs w:val="24"/>
        </w:rPr>
        <w:t>1</w:t>
      </w:r>
      <w:r w:rsidRPr="00272FC5">
        <w:rPr>
          <w:rFonts w:ascii="Bliss 2 Light" w:hAnsi="Bliss 2 Light"/>
          <w:sz w:val="24"/>
          <w:szCs w:val="24"/>
          <w:vertAlign w:val="superscript"/>
        </w:rPr>
        <w:t>th</w:t>
      </w:r>
      <w:r w:rsidR="00B45AC7" w:rsidRPr="00B45AC7">
        <w:rPr>
          <w:rFonts w:ascii="Bliss 2 Light" w:hAnsi="Bliss 2 Light"/>
          <w:sz w:val="24"/>
          <w:szCs w:val="24"/>
        </w:rPr>
        <w:t xml:space="preserve"> March 2020</w:t>
      </w:r>
    </w:p>
    <w:p w14:paraId="0C9507CA" w14:textId="4C588E59" w:rsidR="00B45AC7" w:rsidRDefault="00B45AC7" w:rsidP="00B45AC7">
      <w:pPr>
        <w:spacing w:after="0" w:line="240" w:lineRule="auto"/>
        <w:jc w:val="right"/>
        <w:rPr>
          <w:rFonts w:ascii="Bliss 2 Light" w:hAnsi="Bliss 2 Light"/>
          <w:sz w:val="24"/>
          <w:szCs w:val="24"/>
        </w:rPr>
      </w:pPr>
    </w:p>
    <w:p w14:paraId="7C59CE7C" w14:textId="4D7697CD" w:rsidR="00B45AC7" w:rsidRDefault="00B45AC7" w:rsidP="00B45AC7">
      <w:pPr>
        <w:spacing w:after="0" w:line="240" w:lineRule="auto"/>
        <w:rPr>
          <w:rFonts w:ascii="Bliss 2 Light" w:hAnsi="Bliss 2 Light"/>
          <w:sz w:val="24"/>
          <w:szCs w:val="24"/>
        </w:rPr>
      </w:pPr>
      <w:r>
        <w:rPr>
          <w:rFonts w:ascii="Bliss 2 Light" w:hAnsi="Bliss 2 Light"/>
          <w:sz w:val="24"/>
          <w:szCs w:val="24"/>
        </w:rPr>
        <w:t>Dear Colleagues</w:t>
      </w:r>
    </w:p>
    <w:p w14:paraId="59AA6A50" w14:textId="79BD6CE7" w:rsidR="00B45AC7" w:rsidRDefault="00B45AC7" w:rsidP="00B45AC7">
      <w:pPr>
        <w:spacing w:after="0" w:line="240" w:lineRule="auto"/>
        <w:rPr>
          <w:rFonts w:ascii="Bliss 2 Light" w:hAnsi="Bliss 2 Light"/>
          <w:sz w:val="24"/>
          <w:szCs w:val="24"/>
        </w:rPr>
      </w:pPr>
    </w:p>
    <w:p w14:paraId="7307E50F" w14:textId="74B0C532" w:rsidR="00B45AC7" w:rsidRDefault="00B45AC7" w:rsidP="00B45AC7">
      <w:pPr>
        <w:spacing w:after="0" w:line="240" w:lineRule="auto"/>
        <w:rPr>
          <w:rFonts w:ascii="Bliss 2 Light" w:hAnsi="Bliss 2 Light"/>
          <w:b/>
          <w:bCs/>
          <w:sz w:val="24"/>
          <w:szCs w:val="24"/>
        </w:rPr>
      </w:pPr>
      <w:r>
        <w:rPr>
          <w:rFonts w:ascii="Bliss 2 Light" w:hAnsi="Bliss 2 Light"/>
          <w:b/>
          <w:bCs/>
          <w:sz w:val="24"/>
          <w:szCs w:val="24"/>
        </w:rPr>
        <w:t>Financial Considerations in relation to the 2020/21 GP Contract Agreement</w:t>
      </w:r>
    </w:p>
    <w:p w14:paraId="3C8A0AA5" w14:textId="16C742F8" w:rsidR="00B45AC7" w:rsidRDefault="00B45AC7" w:rsidP="00B45AC7">
      <w:pPr>
        <w:spacing w:after="0" w:line="240" w:lineRule="auto"/>
        <w:rPr>
          <w:rFonts w:ascii="Bliss 2 Light" w:hAnsi="Bliss 2 Light"/>
          <w:b/>
          <w:bCs/>
          <w:sz w:val="24"/>
          <w:szCs w:val="24"/>
        </w:rPr>
      </w:pPr>
    </w:p>
    <w:p w14:paraId="7560F490" w14:textId="48CB75BB" w:rsidR="00B45AC7" w:rsidRDefault="00B45AC7" w:rsidP="00B45AC7">
      <w:pPr>
        <w:spacing w:after="0" w:line="240" w:lineRule="auto"/>
        <w:rPr>
          <w:rFonts w:ascii="Bliss 2 Light" w:hAnsi="Bliss 2 Light"/>
          <w:sz w:val="24"/>
          <w:szCs w:val="24"/>
        </w:rPr>
      </w:pPr>
      <w:r>
        <w:rPr>
          <w:rFonts w:ascii="Bliss 2 Light" w:hAnsi="Bliss 2 Light"/>
          <w:sz w:val="24"/>
          <w:szCs w:val="24"/>
        </w:rPr>
        <w:t>I am writing to draw colleagues attention to the GMS ‘Ready Reckoner’ developed by the GPC in collaboration with NHS England, to enable GP practices to better understand the changes in practice income streams as a result of th</w:t>
      </w:r>
      <w:r w:rsidR="00693307">
        <w:rPr>
          <w:rFonts w:ascii="Bliss 2 Light" w:hAnsi="Bliss 2 Light"/>
          <w:sz w:val="24"/>
          <w:szCs w:val="24"/>
        </w:rPr>
        <w:t xml:space="preserve">is </w:t>
      </w:r>
      <w:proofErr w:type="gramStart"/>
      <w:r w:rsidR="00693307">
        <w:rPr>
          <w:rFonts w:ascii="Bliss 2 Light" w:hAnsi="Bliss 2 Light"/>
          <w:sz w:val="24"/>
          <w:szCs w:val="24"/>
        </w:rPr>
        <w:t>year’s  GP</w:t>
      </w:r>
      <w:proofErr w:type="gramEnd"/>
      <w:r w:rsidR="00693307">
        <w:rPr>
          <w:rFonts w:ascii="Bliss 2 Light" w:hAnsi="Bliss 2 Light"/>
          <w:sz w:val="24"/>
          <w:szCs w:val="24"/>
        </w:rPr>
        <w:t xml:space="preserve"> </w:t>
      </w:r>
      <w:r>
        <w:rPr>
          <w:rFonts w:ascii="Bliss 2 Light" w:hAnsi="Bliss 2 Light"/>
          <w:sz w:val="24"/>
          <w:szCs w:val="24"/>
        </w:rPr>
        <w:t>Contract Agreement.</w:t>
      </w:r>
    </w:p>
    <w:p w14:paraId="4AA7896B" w14:textId="184FAB3C" w:rsidR="00B45AC7" w:rsidRDefault="00B45AC7" w:rsidP="00B45AC7">
      <w:pPr>
        <w:spacing w:after="0" w:line="240" w:lineRule="auto"/>
        <w:rPr>
          <w:rFonts w:ascii="Bliss 2 Light" w:hAnsi="Bliss 2 Light"/>
          <w:sz w:val="24"/>
          <w:szCs w:val="24"/>
        </w:rPr>
      </w:pPr>
    </w:p>
    <w:p w14:paraId="72805FF1" w14:textId="77777777" w:rsidR="008E3EA9" w:rsidRDefault="00B45AC7" w:rsidP="00B45AC7">
      <w:pPr>
        <w:rPr>
          <w:rFonts w:ascii="Bliss 2 Light" w:hAnsi="Bliss 2 Light"/>
          <w:sz w:val="24"/>
          <w:szCs w:val="24"/>
        </w:rPr>
      </w:pPr>
      <w:r>
        <w:rPr>
          <w:rFonts w:ascii="Bliss 2 Light" w:hAnsi="Bliss 2 Light"/>
          <w:sz w:val="24"/>
          <w:szCs w:val="24"/>
        </w:rPr>
        <w:t>This is available at</w:t>
      </w:r>
      <w:r w:rsidR="008E3EA9">
        <w:rPr>
          <w:rFonts w:ascii="Bliss 2 Light" w:hAnsi="Bliss 2 Light"/>
          <w:sz w:val="24"/>
          <w:szCs w:val="24"/>
        </w:rPr>
        <w:t xml:space="preserve">  </w:t>
      </w:r>
      <w:r>
        <w:rPr>
          <w:rFonts w:ascii="Bliss 2 Light" w:hAnsi="Bliss 2 Light"/>
          <w:sz w:val="24"/>
          <w:szCs w:val="24"/>
        </w:rPr>
        <w:t xml:space="preserve"> </w:t>
      </w:r>
    </w:p>
    <w:p w14:paraId="0FFCE16F" w14:textId="52BE8851" w:rsidR="00B45AC7" w:rsidRDefault="00B0060F" w:rsidP="00B45AC7">
      <w:hyperlink r:id="rId6" w:history="1">
        <w:r w:rsidR="00B45AC7">
          <w:rPr>
            <w:rStyle w:val="Hyperlink"/>
          </w:rPr>
          <w:t>https://www.england.nhs.uk/publication/genera</w:t>
        </w:r>
        <w:bookmarkStart w:id="0" w:name="_GoBack"/>
        <w:bookmarkEnd w:id="0"/>
        <w:r w:rsidR="00B45AC7">
          <w:rPr>
            <w:rStyle w:val="Hyperlink"/>
          </w:rPr>
          <w:t>l</w:t>
        </w:r>
        <w:r w:rsidR="00B45AC7">
          <w:rPr>
            <w:rStyle w:val="Hyperlink"/>
          </w:rPr>
          <w:t>-medical-services-gms-ready-reckoner-2020-21/</w:t>
        </w:r>
      </w:hyperlink>
    </w:p>
    <w:p w14:paraId="4368DCB6" w14:textId="327B7C2D" w:rsidR="00B45AC7" w:rsidRDefault="00B45AC7" w:rsidP="00B45AC7">
      <w:pPr>
        <w:spacing w:after="0" w:line="240" w:lineRule="auto"/>
        <w:rPr>
          <w:rFonts w:ascii="Bliss 2 Light" w:hAnsi="Bliss 2 Light"/>
          <w:sz w:val="24"/>
          <w:szCs w:val="24"/>
        </w:rPr>
      </w:pPr>
      <w:r>
        <w:rPr>
          <w:rFonts w:ascii="Bliss 2 Light" w:hAnsi="Bliss 2 Light"/>
          <w:sz w:val="24"/>
          <w:szCs w:val="24"/>
        </w:rPr>
        <w:t xml:space="preserve">The key changes </w:t>
      </w:r>
      <w:r w:rsidR="00693307">
        <w:rPr>
          <w:rFonts w:ascii="Bliss 2 Light" w:hAnsi="Bliss 2 Light"/>
          <w:sz w:val="24"/>
          <w:szCs w:val="24"/>
        </w:rPr>
        <w:t>are: -</w:t>
      </w:r>
    </w:p>
    <w:p w14:paraId="78062904" w14:textId="1F606D46" w:rsidR="00B45AC7" w:rsidRDefault="00B45AC7" w:rsidP="00B45AC7">
      <w:pPr>
        <w:spacing w:after="0" w:line="240" w:lineRule="auto"/>
        <w:rPr>
          <w:rFonts w:ascii="Bliss 2 Light" w:hAnsi="Bliss 2 Light"/>
          <w:sz w:val="24"/>
          <w:szCs w:val="24"/>
        </w:rPr>
      </w:pPr>
    </w:p>
    <w:p w14:paraId="514CE2C8" w14:textId="0EFFCDAF"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Global Sum [Global Sum </w:t>
      </w:r>
      <w:r w:rsidR="00693307">
        <w:rPr>
          <w:rFonts w:ascii="Bliss 2 Light" w:hAnsi="Bliss 2 Light"/>
          <w:sz w:val="24"/>
          <w:szCs w:val="24"/>
        </w:rPr>
        <w:t>E</w:t>
      </w:r>
      <w:r>
        <w:rPr>
          <w:rFonts w:ascii="Bliss 2 Light" w:hAnsi="Bliss 2 Light"/>
          <w:sz w:val="24"/>
          <w:szCs w:val="24"/>
        </w:rPr>
        <w:t>quivalent for PMS practices] will rise from £89.88 to £93.46 from 1.4.20</w:t>
      </w:r>
      <w:r w:rsidR="00272FC5">
        <w:rPr>
          <w:rFonts w:ascii="Bliss 2 Light" w:hAnsi="Bliss 2 Light"/>
          <w:sz w:val="24"/>
          <w:szCs w:val="24"/>
        </w:rPr>
        <w:t xml:space="preserve"> (4.0%), noting this includes MPIG and </w:t>
      </w:r>
      <w:r w:rsidR="00693307">
        <w:rPr>
          <w:rFonts w:ascii="Bliss 2 Light" w:hAnsi="Bliss 2 Light"/>
          <w:sz w:val="24"/>
          <w:szCs w:val="24"/>
        </w:rPr>
        <w:t>S</w:t>
      </w:r>
      <w:r w:rsidR="00272FC5">
        <w:rPr>
          <w:rFonts w:ascii="Bliss 2 Light" w:hAnsi="Bliss 2 Light"/>
          <w:sz w:val="24"/>
          <w:szCs w:val="24"/>
        </w:rPr>
        <w:t>eniority recycling</w:t>
      </w:r>
    </w:p>
    <w:p w14:paraId="66C3C67E" w14:textId="4EB16F75" w:rsidR="00B45AC7" w:rsidRDefault="00B45AC7" w:rsidP="00B45AC7">
      <w:pPr>
        <w:spacing w:after="0" w:line="240" w:lineRule="auto"/>
        <w:rPr>
          <w:rFonts w:ascii="Bliss 2 Light" w:hAnsi="Bliss 2 Light"/>
          <w:sz w:val="24"/>
          <w:szCs w:val="24"/>
        </w:rPr>
      </w:pPr>
    </w:p>
    <w:p w14:paraId="080DCCB9" w14:textId="6E4B144D"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The OOHs deduction is being reduced from 4.82% </w:t>
      </w:r>
      <w:r w:rsidR="00272FC5">
        <w:rPr>
          <w:rFonts w:ascii="Bliss 2 Light" w:hAnsi="Bliss 2 Light"/>
          <w:sz w:val="24"/>
          <w:szCs w:val="24"/>
        </w:rPr>
        <w:t xml:space="preserve">(£4.33) </w:t>
      </w:r>
      <w:r>
        <w:rPr>
          <w:rFonts w:ascii="Bliss 2 Light" w:hAnsi="Bliss 2 Light"/>
          <w:sz w:val="24"/>
          <w:szCs w:val="24"/>
        </w:rPr>
        <w:t>to 4.77%</w:t>
      </w:r>
      <w:r w:rsidR="00272FC5">
        <w:rPr>
          <w:rFonts w:ascii="Bliss 2 Light" w:hAnsi="Bliss 2 Light"/>
          <w:sz w:val="24"/>
          <w:szCs w:val="24"/>
        </w:rPr>
        <w:t xml:space="preserve"> (£4.46)</w:t>
      </w:r>
      <w:r>
        <w:rPr>
          <w:rFonts w:ascii="Bliss 2 Light" w:hAnsi="Bliss 2 Light"/>
          <w:sz w:val="24"/>
          <w:szCs w:val="24"/>
        </w:rPr>
        <w:t>, as the deduction is not applied to recycled MPIG and Seniority Funding entering the Global Sum.</w:t>
      </w:r>
    </w:p>
    <w:p w14:paraId="427339E7" w14:textId="77777777" w:rsidR="00B45AC7" w:rsidRPr="00B45AC7" w:rsidRDefault="00B45AC7" w:rsidP="00B45AC7">
      <w:pPr>
        <w:pStyle w:val="ListParagraph"/>
        <w:rPr>
          <w:rFonts w:ascii="Bliss 2 Light" w:hAnsi="Bliss 2 Light"/>
          <w:sz w:val="24"/>
          <w:szCs w:val="24"/>
        </w:rPr>
      </w:pPr>
    </w:p>
    <w:p w14:paraId="66681825" w14:textId="49663E41"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2020/21 is the final year of the </w:t>
      </w:r>
      <w:proofErr w:type="gramStart"/>
      <w:r>
        <w:rPr>
          <w:rFonts w:ascii="Bliss 2 Light" w:hAnsi="Bliss 2 Light"/>
          <w:sz w:val="24"/>
          <w:szCs w:val="24"/>
        </w:rPr>
        <w:t>seven year</w:t>
      </w:r>
      <w:proofErr w:type="gramEnd"/>
      <w:r>
        <w:rPr>
          <w:rFonts w:ascii="Bliss 2 Light" w:hAnsi="Bliss 2 Light"/>
          <w:sz w:val="24"/>
          <w:szCs w:val="24"/>
        </w:rPr>
        <w:t xml:space="preserve"> phasing out of MPIG (Minimum Practice Income Guarantee Correction Factor), and Seniority payments with both residual funding </w:t>
      </w:r>
      <w:r w:rsidR="00693307">
        <w:rPr>
          <w:rFonts w:ascii="Bliss 2 Light" w:hAnsi="Bliss 2 Light"/>
          <w:sz w:val="24"/>
          <w:szCs w:val="24"/>
        </w:rPr>
        <w:t xml:space="preserve">pools now </w:t>
      </w:r>
      <w:r>
        <w:rPr>
          <w:rFonts w:ascii="Bliss 2 Light" w:hAnsi="Bliss 2 Light"/>
          <w:sz w:val="24"/>
          <w:szCs w:val="24"/>
        </w:rPr>
        <w:t>entering Global Sum</w:t>
      </w:r>
    </w:p>
    <w:p w14:paraId="3A3CC9D0" w14:textId="77777777" w:rsidR="00B45AC7" w:rsidRPr="00B45AC7" w:rsidRDefault="00B45AC7" w:rsidP="00B45AC7">
      <w:pPr>
        <w:pStyle w:val="ListParagraph"/>
        <w:rPr>
          <w:rFonts w:ascii="Bliss 2 Light" w:hAnsi="Bliss 2 Light"/>
          <w:sz w:val="24"/>
          <w:szCs w:val="24"/>
        </w:rPr>
      </w:pPr>
    </w:p>
    <w:p w14:paraId="2BD234B5" w14:textId="02EBC79E"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The QOF point value rises from £187.74 to £194.83 on 1.4.20</w:t>
      </w:r>
      <w:r w:rsidR="00272FC5">
        <w:rPr>
          <w:rFonts w:ascii="Bliss 2 Light" w:hAnsi="Bliss 2 Light"/>
          <w:sz w:val="24"/>
          <w:szCs w:val="24"/>
        </w:rPr>
        <w:t xml:space="preserve"> (3.8%)</w:t>
      </w:r>
      <w:r>
        <w:rPr>
          <w:rFonts w:ascii="Bliss 2 Light" w:hAnsi="Bliss 2 Light"/>
          <w:sz w:val="24"/>
          <w:szCs w:val="24"/>
        </w:rPr>
        <w:t xml:space="preserve">, reflecting the increase in the average practice list from </w:t>
      </w:r>
      <w:r w:rsidR="00272FC5">
        <w:rPr>
          <w:rFonts w:ascii="Bliss 2 Light" w:hAnsi="Bliss 2 Light"/>
          <w:sz w:val="24"/>
          <w:szCs w:val="24"/>
        </w:rPr>
        <w:t>8479 t</w:t>
      </w:r>
      <w:r>
        <w:rPr>
          <w:rFonts w:ascii="Bliss 2 Light" w:hAnsi="Bliss 2 Light"/>
          <w:sz w:val="24"/>
          <w:szCs w:val="24"/>
        </w:rPr>
        <w:t xml:space="preserve">o </w:t>
      </w:r>
      <w:r w:rsidR="00272FC5">
        <w:rPr>
          <w:rFonts w:ascii="Bliss 2 Light" w:hAnsi="Bliss 2 Light"/>
          <w:sz w:val="24"/>
          <w:szCs w:val="24"/>
        </w:rPr>
        <w:t>8799 on 1.1.20</w:t>
      </w:r>
      <w:r>
        <w:rPr>
          <w:rFonts w:ascii="Bliss 2 Light" w:hAnsi="Bliss 2 Light"/>
          <w:sz w:val="24"/>
          <w:szCs w:val="24"/>
        </w:rPr>
        <w:t xml:space="preserve">; </w:t>
      </w:r>
      <w:r w:rsidR="00693307">
        <w:rPr>
          <w:rFonts w:ascii="Bliss 2 Light" w:hAnsi="Bliss 2 Light"/>
          <w:sz w:val="24"/>
          <w:szCs w:val="24"/>
        </w:rPr>
        <w:t>however,</w:t>
      </w:r>
      <w:r>
        <w:rPr>
          <w:rFonts w:ascii="Bliss 2 Light" w:hAnsi="Bliss 2 Light"/>
          <w:sz w:val="24"/>
          <w:szCs w:val="24"/>
        </w:rPr>
        <w:t xml:space="preserve"> the number of QOF points is also rising from 559 to 567</w:t>
      </w:r>
    </w:p>
    <w:p w14:paraId="48CDB689" w14:textId="77777777" w:rsidR="00B45AC7" w:rsidRPr="00B45AC7" w:rsidRDefault="00B45AC7" w:rsidP="00B45AC7">
      <w:pPr>
        <w:pStyle w:val="ListParagraph"/>
        <w:rPr>
          <w:rFonts w:ascii="Bliss 2 Light" w:hAnsi="Bliss 2 Light"/>
          <w:sz w:val="24"/>
          <w:szCs w:val="24"/>
        </w:rPr>
      </w:pPr>
    </w:p>
    <w:p w14:paraId="45181AEC" w14:textId="27E2AD55"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The </w:t>
      </w:r>
      <w:r w:rsidR="00693307">
        <w:rPr>
          <w:rFonts w:ascii="Bliss 2 Light" w:hAnsi="Bliss 2 Light"/>
          <w:sz w:val="24"/>
          <w:szCs w:val="24"/>
        </w:rPr>
        <w:t xml:space="preserve">PCN DES </w:t>
      </w:r>
      <w:r>
        <w:rPr>
          <w:rFonts w:ascii="Bliss 2 Light" w:hAnsi="Bliss 2 Light"/>
          <w:sz w:val="24"/>
          <w:szCs w:val="24"/>
        </w:rPr>
        <w:t>Network Participation Payment (£1.76)</w:t>
      </w:r>
      <w:r w:rsidR="00272FC5">
        <w:rPr>
          <w:rFonts w:ascii="Bliss 2 Light" w:hAnsi="Bliss 2 Light"/>
          <w:sz w:val="24"/>
          <w:szCs w:val="24"/>
        </w:rPr>
        <w:t xml:space="preserve"> paid to practices</w:t>
      </w:r>
      <w:r>
        <w:rPr>
          <w:rFonts w:ascii="Bliss 2 Light" w:hAnsi="Bliss 2 Light"/>
          <w:sz w:val="24"/>
          <w:szCs w:val="24"/>
        </w:rPr>
        <w:t xml:space="preserve"> remains the same</w:t>
      </w:r>
    </w:p>
    <w:p w14:paraId="64CE7893" w14:textId="77777777" w:rsidR="00B45AC7" w:rsidRPr="00B45AC7" w:rsidRDefault="00B45AC7" w:rsidP="00B45AC7">
      <w:pPr>
        <w:pStyle w:val="ListParagraph"/>
        <w:rPr>
          <w:rFonts w:ascii="Bliss 2 Light" w:hAnsi="Bliss 2 Light"/>
          <w:sz w:val="24"/>
          <w:szCs w:val="24"/>
        </w:rPr>
      </w:pPr>
    </w:p>
    <w:p w14:paraId="6E524282" w14:textId="31EA401A"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The CCG funding of £1.50 </w:t>
      </w:r>
      <w:r w:rsidR="00693307">
        <w:rPr>
          <w:rFonts w:ascii="Bliss 2 Light" w:hAnsi="Bliss 2 Light"/>
          <w:sz w:val="24"/>
          <w:szCs w:val="24"/>
        </w:rPr>
        <w:t xml:space="preserve">per head </w:t>
      </w:r>
      <w:r w:rsidR="00272FC5">
        <w:rPr>
          <w:rFonts w:ascii="Bliss 2 Light" w:hAnsi="Bliss 2 Light"/>
          <w:sz w:val="24"/>
          <w:szCs w:val="24"/>
        </w:rPr>
        <w:t xml:space="preserve">paid </w:t>
      </w:r>
      <w:r>
        <w:rPr>
          <w:rFonts w:ascii="Bliss 2 Light" w:hAnsi="Bliss 2 Light"/>
          <w:sz w:val="24"/>
          <w:szCs w:val="24"/>
        </w:rPr>
        <w:t>to PCNs remains unchanged</w:t>
      </w:r>
    </w:p>
    <w:p w14:paraId="10522112" w14:textId="77777777" w:rsidR="00B45AC7" w:rsidRPr="00B45AC7" w:rsidRDefault="00B45AC7" w:rsidP="00B45AC7">
      <w:pPr>
        <w:pStyle w:val="ListParagraph"/>
        <w:rPr>
          <w:rFonts w:ascii="Bliss 2 Light" w:hAnsi="Bliss 2 Light"/>
          <w:sz w:val="24"/>
          <w:szCs w:val="24"/>
        </w:rPr>
      </w:pPr>
    </w:p>
    <w:p w14:paraId="3D9B77DD" w14:textId="6B562B34"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There are two new income streams associated with PCNs</w:t>
      </w:r>
    </w:p>
    <w:p w14:paraId="7D07FBDA" w14:textId="77777777" w:rsidR="00B45AC7" w:rsidRPr="00B45AC7" w:rsidRDefault="00B45AC7" w:rsidP="00B45AC7">
      <w:pPr>
        <w:pStyle w:val="ListParagraph"/>
        <w:rPr>
          <w:rFonts w:ascii="Bliss 2 Light" w:hAnsi="Bliss 2 Light"/>
          <w:sz w:val="24"/>
          <w:szCs w:val="24"/>
        </w:rPr>
      </w:pPr>
    </w:p>
    <w:p w14:paraId="63C44E98" w14:textId="799CCDD4" w:rsidR="00B45AC7" w:rsidRDefault="00B45AC7" w:rsidP="007717DE">
      <w:pPr>
        <w:pStyle w:val="ListParagraph"/>
        <w:numPr>
          <w:ilvl w:val="1"/>
          <w:numId w:val="1"/>
        </w:numPr>
        <w:spacing w:after="0" w:line="240" w:lineRule="auto"/>
        <w:rPr>
          <w:rFonts w:ascii="Bliss 2 Light" w:hAnsi="Bliss 2 Light"/>
          <w:sz w:val="24"/>
          <w:szCs w:val="24"/>
        </w:rPr>
      </w:pPr>
      <w:r>
        <w:rPr>
          <w:rFonts w:ascii="Bliss 2 Light" w:hAnsi="Bliss 2 Light"/>
          <w:sz w:val="24"/>
          <w:szCs w:val="24"/>
        </w:rPr>
        <w:t xml:space="preserve">The ‘PCN QOF’ paid for via the Investment and Impact Fund, worth 67p per head to a PCN if all incentives are achieved </w:t>
      </w:r>
    </w:p>
    <w:p w14:paraId="51940185" w14:textId="77777777" w:rsidR="00B45AC7" w:rsidRPr="00B45AC7" w:rsidRDefault="00B45AC7" w:rsidP="00B45AC7">
      <w:pPr>
        <w:pStyle w:val="ListParagraph"/>
        <w:rPr>
          <w:rFonts w:ascii="Bliss 2 Light" w:hAnsi="Bliss 2 Light"/>
          <w:sz w:val="24"/>
          <w:szCs w:val="24"/>
        </w:rPr>
      </w:pPr>
    </w:p>
    <w:p w14:paraId="0F913B13" w14:textId="48259AC8" w:rsidR="00B45AC7" w:rsidRDefault="00B45AC7" w:rsidP="007717DE">
      <w:pPr>
        <w:pStyle w:val="ListParagraph"/>
        <w:numPr>
          <w:ilvl w:val="1"/>
          <w:numId w:val="1"/>
        </w:numPr>
        <w:spacing w:after="0" w:line="240" w:lineRule="auto"/>
        <w:rPr>
          <w:rFonts w:ascii="Bliss 2 Light" w:hAnsi="Bliss 2 Light"/>
          <w:sz w:val="24"/>
          <w:szCs w:val="24"/>
        </w:rPr>
      </w:pPr>
      <w:r>
        <w:rPr>
          <w:rFonts w:ascii="Bliss 2 Light" w:hAnsi="Bliss 2 Light"/>
          <w:sz w:val="24"/>
          <w:szCs w:val="24"/>
        </w:rPr>
        <w:t>The PCN Care Home Premium of £120 per annum; paid from 1.10.20 if the Care Home specifications are met, and therefore £60 for the 2020/21 financial year</w:t>
      </w:r>
    </w:p>
    <w:p w14:paraId="24EF3858" w14:textId="24DA4601" w:rsidR="00B45AC7" w:rsidRDefault="00B45AC7" w:rsidP="00B45AC7">
      <w:pPr>
        <w:pStyle w:val="ListParagraph"/>
        <w:rPr>
          <w:rFonts w:ascii="Bliss 2 Light" w:hAnsi="Bliss 2 Light"/>
          <w:sz w:val="24"/>
          <w:szCs w:val="24"/>
        </w:rPr>
      </w:pPr>
    </w:p>
    <w:p w14:paraId="64BC504E" w14:textId="77777777" w:rsidR="008E3EA9" w:rsidRPr="00B45AC7" w:rsidRDefault="008E3EA9" w:rsidP="00B45AC7">
      <w:pPr>
        <w:pStyle w:val="ListParagraph"/>
        <w:rPr>
          <w:rFonts w:ascii="Bliss 2 Light" w:hAnsi="Bliss 2 Light"/>
          <w:sz w:val="24"/>
          <w:szCs w:val="24"/>
        </w:rPr>
      </w:pPr>
    </w:p>
    <w:p w14:paraId="65AFD0EE" w14:textId="4FC758C7" w:rsidR="00B45AC7" w:rsidRDefault="00B45AC7"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lastRenderedPageBreak/>
        <w:t xml:space="preserve">The Additional Roles Reimbursement Scheme </w:t>
      </w:r>
      <w:r w:rsidR="00272FC5">
        <w:rPr>
          <w:rFonts w:ascii="Bliss 2 Light" w:hAnsi="Bliss 2 Light"/>
          <w:sz w:val="24"/>
          <w:szCs w:val="24"/>
        </w:rPr>
        <w:t xml:space="preserve">(ARRS) </w:t>
      </w:r>
      <w:r>
        <w:rPr>
          <w:rFonts w:ascii="Bliss 2 Light" w:hAnsi="Bliss 2 Light"/>
          <w:sz w:val="24"/>
          <w:szCs w:val="24"/>
        </w:rPr>
        <w:t xml:space="preserve">has been changed such </w:t>
      </w:r>
      <w:r w:rsidR="007717DE">
        <w:rPr>
          <w:rFonts w:ascii="Bliss 2 Light" w:hAnsi="Bliss 2 Light"/>
          <w:sz w:val="24"/>
          <w:szCs w:val="24"/>
        </w:rPr>
        <w:t>that there will be 100</w:t>
      </w:r>
      <w:r w:rsidR="00693307">
        <w:rPr>
          <w:rFonts w:ascii="Bliss 2 Light" w:hAnsi="Bliss 2 Light"/>
          <w:sz w:val="24"/>
          <w:szCs w:val="24"/>
        </w:rPr>
        <w:t>%</w:t>
      </w:r>
      <w:r w:rsidR="007717DE">
        <w:rPr>
          <w:rFonts w:ascii="Bliss 2 Light" w:hAnsi="Bliss 2 Light"/>
          <w:sz w:val="24"/>
          <w:szCs w:val="24"/>
        </w:rPr>
        <w:t xml:space="preserve"> reimbursement of all roles, to the ceiling described in the specification, and the total allocated funding for each PCN is significantly increasing</w:t>
      </w:r>
      <w:r w:rsidR="00272FC5">
        <w:rPr>
          <w:rFonts w:ascii="Bliss 2 Light" w:hAnsi="Bliss 2 Light"/>
          <w:sz w:val="24"/>
          <w:szCs w:val="24"/>
        </w:rPr>
        <w:t>.  An average PCN will have an ARRS allocation of £344k in 2020/21, rising to £1.13 million by 2023/24</w:t>
      </w:r>
    </w:p>
    <w:p w14:paraId="587E0B7F" w14:textId="77777777" w:rsidR="007717DE" w:rsidRPr="007717DE" w:rsidRDefault="007717DE" w:rsidP="007717DE">
      <w:pPr>
        <w:pStyle w:val="ListParagraph"/>
        <w:rPr>
          <w:rFonts w:ascii="Bliss 2 Light" w:hAnsi="Bliss 2 Light"/>
          <w:sz w:val="24"/>
          <w:szCs w:val="24"/>
        </w:rPr>
      </w:pPr>
    </w:p>
    <w:p w14:paraId="43636DF4" w14:textId="395E5486" w:rsidR="007717DE" w:rsidRDefault="007717DE"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The Extended Hours funding remains the same at £1.45</w:t>
      </w:r>
      <w:r w:rsidR="00693307">
        <w:rPr>
          <w:rFonts w:ascii="Bliss 2 Light" w:hAnsi="Bliss 2 Light"/>
          <w:sz w:val="24"/>
          <w:szCs w:val="24"/>
        </w:rPr>
        <w:t xml:space="preserve"> per head</w:t>
      </w:r>
    </w:p>
    <w:p w14:paraId="68B1A791" w14:textId="77777777" w:rsidR="007717DE" w:rsidRPr="007717DE" w:rsidRDefault="007717DE" w:rsidP="007717DE">
      <w:pPr>
        <w:pStyle w:val="ListParagraph"/>
        <w:rPr>
          <w:rFonts w:ascii="Bliss 2 Light" w:hAnsi="Bliss 2 Light"/>
          <w:sz w:val="24"/>
          <w:szCs w:val="24"/>
        </w:rPr>
      </w:pPr>
    </w:p>
    <w:p w14:paraId="1669821F" w14:textId="58F8BDCC" w:rsidR="007717DE" w:rsidRDefault="007717DE" w:rsidP="00B45AC7">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The PCN Clinical Director funding </w:t>
      </w:r>
      <w:r w:rsidR="00693307">
        <w:rPr>
          <w:rFonts w:ascii="Bliss 2 Light" w:hAnsi="Bliss 2 Light"/>
          <w:sz w:val="24"/>
          <w:szCs w:val="24"/>
        </w:rPr>
        <w:t xml:space="preserve">contribution </w:t>
      </w:r>
      <w:r>
        <w:rPr>
          <w:rFonts w:ascii="Bliss 2 Light" w:hAnsi="Bliss 2 Light"/>
          <w:sz w:val="24"/>
          <w:szCs w:val="24"/>
        </w:rPr>
        <w:t>remains unchanged</w:t>
      </w:r>
    </w:p>
    <w:p w14:paraId="50F9A7CF" w14:textId="77777777" w:rsidR="007717DE" w:rsidRPr="007717DE" w:rsidRDefault="007717DE" w:rsidP="007717DE">
      <w:pPr>
        <w:pStyle w:val="ListParagraph"/>
        <w:rPr>
          <w:rFonts w:ascii="Bliss 2 Light" w:hAnsi="Bliss 2 Light"/>
          <w:sz w:val="24"/>
          <w:szCs w:val="24"/>
        </w:rPr>
      </w:pPr>
    </w:p>
    <w:p w14:paraId="1B63712E" w14:textId="5A79217F" w:rsidR="007717DE" w:rsidRDefault="007717DE" w:rsidP="007717DE">
      <w:pPr>
        <w:spacing w:after="0" w:line="240" w:lineRule="auto"/>
        <w:rPr>
          <w:rFonts w:ascii="Bliss 2 Light" w:hAnsi="Bliss 2 Light"/>
          <w:sz w:val="24"/>
          <w:szCs w:val="24"/>
        </w:rPr>
      </w:pPr>
      <w:r>
        <w:rPr>
          <w:rFonts w:ascii="Bliss 2 Light" w:hAnsi="Bliss 2 Light"/>
          <w:sz w:val="24"/>
          <w:szCs w:val="24"/>
        </w:rPr>
        <w:t xml:space="preserve">These calculations do not </w:t>
      </w:r>
      <w:proofErr w:type="gramStart"/>
      <w:r>
        <w:rPr>
          <w:rFonts w:ascii="Bliss 2 Light" w:hAnsi="Bliss 2 Light"/>
          <w:sz w:val="24"/>
          <w:szCs w:val="24"/>
        </w:rPr>
        <w:t>take into account</w:t>
      </w:r>
      <w:proofErr w:type="gramEnd"/>
      <w:r>
        <w:rPr>
          <w:rFonts w:ascii="Bliss 2 Light" w:hAnsi="Bliss 2 Light"/>
          <w:sz w:val="24"/>
          <w:szCs w:val="24"/>
        </w:rPr>
        <w:t xml:space="preserve"> the potential increase in funding achieved by the changes in the Vaccination and Immunisation arrangements, which will be partially introduced in 2020/21 and fully implemented in 2021/22.  An additional £30 million is being added to the funding for this service.</w:t>
      </w:r>
    </w:p>
    <w:p w14:paraId="7406F8F9" w14:textId="4A8A619E" w:rsidR="007717DE" w:rsidRDefault="007717DE" w:rsidP="007717DE">
      <w:pPr>
        <w:spacing w:after="0" w:line="240" w:lineRule="auto"/>
        <w:rPr>
          <w:rFonts w:ascii="Bliss 2 Light" w:hAnsi="Bliss 2 Light"/>
          <w:sz w:val="24"/>
          <w:szCs w:val="24"/>
        </w:rPr>
      </w:pPr>
    </w:p>
    <w:p w14:paraId="39CFB94C" w14:textId="0F3BCA9F" w:rsidR="007717DE" w:rsidRDefault="007717DE" w:rsidP="007717DE">
      <w:pPr>
        <w:spacing w:after="0" w:line="240" w:lineRule="auto"/>
        <w:rPr>
          <w:rFonts w:ascii="Bliss 2 Light" w:hAnsi="Bliss 2 Light"/>
          <w:sz w:val="24"/>
          <w:szCs w:val="24"/>
        </w:rPr>
      </w:pPr>
      <w:r>
        <w:rPr>
          <w:rFonts w:ascii="Bliss 2 Light" w:hAnsi="Bliss 2 Light"/>
          <w:sz w:val="24"/>
          <w:szCs w:val="24"/>
        </w:rPr>
        <w:t xml:space="preserve">Using the </w:t>
      </w:r>
      <w:r w:rsidR="00272FC5">
        <w:rPr>
          <w:rFonts w:ascii="Bliss 2 Light" w:hAnsi="Bliss 2 Light"/>
          <w:sz w:val="24"/>
          <w:szCs w:val="24"/>
        </w:rPr>
        <w:t>“Ready R</w:t>
      </w:r>
      <w:r>
        <w:rPr>
          <w:rFonts w:ascii="Bliss 2 Light" w:hAnsi="Bliss 2 Light"/>
          <w:sz w:val="24"/>
          <w:szCs w:val="24"/>
        </w:rPr>
        <w:t>eckoner</w:t>
      </w:r>
      <w:r w:rsidR="00272FC5">
        <w:rPr>
          <w:rFonts w:ascii="Bliss 2 Light" w:hAnsi="Bliss 2 Light"/>
          <w:sz w:val="24"/>
          <w:szCs w:val="24"/>
        </w:rPr>
        <w:t>”</w:t>
      </w:r>
      <w:r>
        <w:rPr>
          <w:rFonts w:ascii="Bliss 2 Light" w:hAnsi="Bliss 2 Light"/>
          <w:sz w:val="24"/>
          <w:szCs w:val="24"/>
        </w:rPr>
        <w:t xml:space="preserve"> (for which weighted figures will be needed, for </w:t>
      </w:r>
      <w:r w:rsidR="00693307">
        <w:rPr>
          <w:rFonts w:ascii="Bliss 2 Light" w:hAnsi="Bliss 2 Light"/>
          <w:sz w:val="24"/>
          <w:szCs w:val="24"/>
        </w:rPr>
        <w:t>your</w:t>
      </w:r>
      <w:r>
        <w:rPr>
          <w:rFonts w:ascii="Bliss 2 Light" w:hAnsi="Bliss 2 Light"/>
          <w:sz w:val="24"/>
          <w:szCs w:val="24"/>
        </w:rPr>
        <w:t xml:space="preserve"> practice population and the PCN of which your practice is a member) will be give colleagues a calculation of potential income for both their practice and PCN, noting that the ARRS reimbursement is based </w:t>
      </w:r>
      <w:r w:rsidR="00272FC5">
        <w:rPr>
          <w:rFonts w:ascii="Bliss 2 Light" w:hAnsi="Bliss 2 Light"/>
          <w:sz w:val="24"/>
          <w:szCs w:val="24"/>
        </w:rPr>
        <w:t>up</w:t>
      </w:r>
      <w:r>
        <w:rPr>
          <w:rFonts w:ascii="Bliss 2 Light" w:hAnsi="Bliss 2 Light"/>
          <w:sz w:val="24"/>
          <w:szCs w:val="24"/>
        </w:rPr>
        <w:t>on</w:t>
      </w:r>
      <w:r w:rsidR="00272FC5">
        <w:rPr>
          <w:rFonts w:ascii="Bliss 2 Light" w:hAnsi="Bliss 2 Light"/>
          <w:sz w:val="24"/>
          <w:szCs w:val="24"/>
        </w:rPr>
        <w:t xml:space="preserve"> actual</w:t>
      </w:r>
      <w:r>
        <w:rPr>
          <w:rFonts w:ascii="Bliss 2 Light" w:hAnsi="Bliss 2 Light"/>
          <w:sz w:val="24"/>
          <w:szCs w:val="24"/>
        </w:rPr>
        <w:t xml:space="preserve"> recruitment.</w:t>
      </w:r>
    </w:p>
    <w:p w14:paraId="7C1CA4DD" w14:textId="71EDAD17" w:rsidR="007717DE" w:rsidRDefault="007717DE" w:rsidP="007717DE">
      <w:pPr>
        <w:spacing w:after="0" w:line="240" w:lineRule="auto"/>
        <w:rPr>
          <w:rFonts w:ascii="Bliss 2 Light" w:hAnsi="Bliss 2 Light"/>
          <w:sz w:val="24"/>
          <w:szCs w:val="24"/>
        </w:rPr>
      </w:pPr>
    </w:p>
    <w:p w14:paraId="46164078" w14:textId="6C40E009" w:rsidR="007717DE" w:rsidRDefault="007717DE" w:rsidP="007717DE">
      <w:pPr>
        <w:spacing w:after="0" w:line="240" w:lineRule="auto"/>
        <w:rPr>
          <w:rFonts w:ascii="Bliss 2 Light" w:hAnsi="Bliss 2 Light"/>
          <w:sz w:val="24"/>
          <w:szCs w:val="24"/>
        </w:rPr>
      </w:pPr>
      <w:r>
        <w:rPr>
          <w:rFonts w:ascii="Bliss 2 Light" w:hAnsi="Bliss 2 Light"/>
          <w:sz w:val="24"/>
          <w:szCs w:val="24"/>
        </w:rPr>
        <w:t>Calculating the cost of any commitment to delivering the PCN DES specifications cannot be exact but will depend upon</w:t>
      </w:r>
    </w:p>
    <w:p w14:paraId="0FDFA1A6" w14:textId="114911D5" w:rsidR="007717DE" w:rsidRDefault="007717DE" w:rsidP="007717DE">
      <w:pPr>
        <w:spacing w:after="0" w:line="240" w:lineRule="auto"/>
        <w:rPr>
          <w:rFonts w:ascii="Bliss 2 Light" w:hAnsi="Bliss 2 Light"/>
          <w:sz w:val="24"/>
          <w:szCs w:val="24"/>
        </w:rPr>
      </w:pPr>
    </w:p>
    <w:p w14:paraId="3B3DD885" w14:textId="6CCADC8B" w:rsidR="007717DE" w:rsidRDefault="007717DE" w:rsidP="007717DE">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The extent to which the work described in the three service specifications is already being undertaken by the practice; it is highly unlikely, in relation to each specification, any practices current commitment is zero</w:t>
      </w:r>
    </w:p>
    <w:p w14:paraId="3D7BAC05" w14:textId="10806201" w:rsidR="007717DE" w:rsidRDefault="007717DE" w:rsidP="007717DE">
      <w:pPr>
        <w:spacing w:after="0" w:line="240" w:lineRule="auto"/>
        <w:rPr>
          <w:rFonts w:ascii="Bliss 2 Light" w:hAnsi="Bliss 2 Light"/>
          <w:sz w:val="24"/>
          <w:szCs w:val="24"/>
        </w:rPr>
      </w:pPr>
    </w:p>
    <w:p w14:paraId="283C8A78" w14:textId="2E7A17EB" w:rsidR="007717DE" w:rsidRDefault="007717DE" w:rsidP="007717DE">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The extent to which the ARRS roles can be recruited, and the proportion of their working time that PCNs will choose to deploy to PCN DES specification workload as opposed to current practice workload; the LMC would expect the latter to be the primary commitment for all ARRS staff.</w:t>
      </w:r>
    </w:p>
    <w:p w14:paraId="6797A8E8" w14:textId="77777777" w:rsidR="007717DE" w:rsidRPr="007717DE" w:rsidRDefault="007717DE" w:rsidP="007717DE">
      <w:pPr>
        <w:pStyle w:val="ListParagraph"/>
        <w:rPr>
          <w:rFonts w:ascii="Bliss 2 Light" w:hAnsi="Bliss 2 Light"/>
          <w:sz w:val="24"/>
          <w:szCs w:val="24"/>
        </w:rPr>
      </w:pPr>
    </w:p>
    <w:p w14:paraId="1CF46A1D" w14:textId="7E1B81A1" w:rsidR="007717DE" w:rsidRDefault="007717DE" w:rsidP="007717DE">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The extent to which Community Provider staff will undertake elements of the PCN DES service specification: this will be a contractual requirement for Community Providers from April 2020 and they will need to work with PCNs to agree the joint delivery of the Care Home specification; it is not expected a PCN will deliver this specification without Community Provider  staff being actively involved</w:t>
      </w:r>
    </w:p>
    <w:p w14:paraId="0B981CB5" w14:textId="77777777" w:rsidR="007717DE" w:rsidRPr="007717DE" w:rsidRDefault="007717DE" w:rsidP="007717DE">
      <w:pPr>
        <w:pStyle w:val="ListParagraph"/>
        <w:rPr>
          <w:rFonts w:ascii="Bliss 2 Light" w:hAnsi="Bliss 2 Light"/>
          <w:sz w:val="24"/>
          <w:szCs w:val="24"/>
        </w:rPr>
      </w:pPr>
    </w:p>
    <w:p w14:paraId="0049002B" w14:textId="58CA6D54" w:rsidR="007717DE" w:rsidRDefault="007717DE" w:rsidP="007717DE">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 xml:space="preserve">The extent to which PCN member practices invest in available incentives; the PCN QOF is new funding, but it is only worthwhile pursuing if the incentive reward </w:t>
      </w:r>
      <w:proofErr w:type="gramStart"/>
      <w:r>
        <w:rPr>
          <w:rFonts w:ascii="Bliss 2 Light" w:hAnsi="Bliss 2 Light"/>
          <w:sz w:val="24"/>
          <w:szCs w:val="24"/>
        </w:rPr>
        <w:t>exceeds  any</w:t>
      </w:r>
      <w:proofErr w:type="gramEnd"/>
      <w:r>
        <w:rPr>
          <w:rFonts w:ascii="Bliss 2 Light" w:hAnsi="Bliss 2 Light"/>
          <w:sz w:val="24"/>
          <w:szCs w:val="24"/>
        </w:rPr>
        <w:t xml:space="preserve"> investment required to secure it; this is entirely down to PCN membership discretion.</w:t>
      </w:r>
    </w:p>
    <w:p w14:paraId="4B629204" w14:textId="77777777" w:rsidR="008E3EA9" w:rsidRDefault="008E3EA9" w:rsidP="007717DE">
      <w:pPr>
        <w:spacing w:after="0" w:line="240" w:lineRule="auto"/>
        <w:rPr>
          <w:rFonts w:ascii="Bliss 2 Light" w:hAnsi="Bliss 2 Light"/>
          <w:sz w:val="24"/>
          <w:szCs w:val="24"/>
        </w:rPr>
      </w:pPr>
    </w:p>
    <w:p w14:paraId="68D10562" w14:textId="5EA3C251" w:rsidR="007717DE" w:rsidRDefault="007717DE" w:rsidP="007717DE">
      <w:pPr>
        <w:spacing w:after="0" w:line="240" w:lineRule="auto"/>
        <w:rPr>
          <w:rFonts w:ascii="Bliss 2 Light" w:hAnsi="Bliss 2 Light"/>
          <w:sz w:val="24"/>
          <w:szCs w:val="24"/>
        </w:rPr>
      </w:pPr>
      <w:r>
        <w:rPr>
          <w:rFonts w:ascii="Bliss 2 Light" w:hAnsi="Bliss 2 Light"/>
          <w:sz w:val="24"/>
          <w:szCs w:val="24"/>
        </w:rPr>
        <w:t xml:space="preserve">The LMC anticipates PCN member practices would expect, by default, the Care Home Premium and </w:t>
      </w:r>
      <w:r w:rsidR="000C2164">
        <w:rPr>
          <w:rFonts w:ascii="Bliss 2 Light" w:hAnsi="Bliss 2 Light"/>
          <w:sz w:val="24"/>
          <w:szCs w:val="24"/>
        </w:rPr>
        <w:t xml:space="preserve">PCN QOF incentive payments to be paid </w:t>
      </w:r>
      <w:r w:rsidR="00693307">
        <w:rPr>
          <w:rFonts w:ascii="Bliss 2 Light" w:hAnsi="Bliss 2 Light"/>
          <w:sz w:val="24"/>
          <w:szCs w:val="24"/>
        </w:rPr>
        <w:t xml:space="preserve">in full and </w:t>
      </w:r>
      <w:r w:rsidR="000C2164">
        <w:rPr>
          <w:rFonts w:ascii="Bliss 2 Light" w:hAnsi="Bliss 2 Light"/>
          <w:sz w:val="24"/>
          <w:szCs w:val="24"/>
        </w:rPr>
        <w:t>equitably to member practices</w:t>
      </w:r>
      <w:r w:rsidR="00272FC5">
        <w:rPr>
          <w:rFonts w:ascii="Bliss 2 Light" w:hAnsi="Bliss 2 Light"/>
          <w:sz w:val="24"/>
          <w:szCs w:val="24"/>
        </w:rPr>
        <w:t>, but this will need to be written into PCN Network Agreements.</w:t>
      </w:r>
    </w:p>
    <w:p w14:paraId="306521F7" w14:textId="4A0B3783" w:rsidR="000C2164" w:rsidRDefault="000C2164" w:rsidP="007717DE">
      <w:pPr>
        <w:spacing w:after="0" w:line="240" w:lineRule="auto"/>
        <w:rPr>
          <w:rFonts w:ascii="Bliss 2 Light" w:hAnsi="Bliss 2 Light"/>
          <w:sz w:val="24"/>
          <w:szCs w:val="24"/>
        </w:rPr>
      </w:pPr>
    </w:p>
    <w:p w14:paraId="2B5D7874" w14:textId="54AEEC78" w:rsidR="00272FC5" w:rsidRDefault="00272FC5" w:rsidP="007717DE">
      <w:pPr>
        <w:spacing w:after="0" w:line="240" w:lineRule="auto"/>
        <w:rPr>
          <w:rFonts w:ascii="Bliss 2 Light" w:hAnsi="Bliss 2 Light"/>
          <w:sz w:val="24"/>
          <w:szCs w:val="24"/>
        </w:rPr>
      </w:pPr>
      <w:r>
        <w:rPr>
          <w:rFonts w:ascii="Bliss 2 Light" w:hAnsi="Bliss 2 Light"/>
          <w:sz w:val="24"/>
          <w:szCs w:val="24"/>
        </w:rPr>
        <w:t xml:space="preserve">In addition, I enclose an example of how a PCN financial outcome may look; noting </w:t>
      </w:r>
      <w:proofErr w:type="gramStart"/>
      <w:r w:rsidR="00693307">
        <w:rPr>
          <w:rFonts w:ascii="Bliss 2 Light" w:hAnsi="Bliss 2 Light"/>
          <w:sz w:val="24"/>
          <w:szCs w:val="24"/>
        </w:rPr>
        <w:t>this serves</w:t>
      </w:r>
      <w:proofErr w:type="gramEnd"/>
      <w:r>
        <w:rPr>
          <w:rFonts w:ascii="Bliss 2 Light" w:hAnsi="Bliss 2 Light"/>
          <w:sz w:val="24"/>
          <w:szCs w:val="24"/>
        </w:rPr>
        <w:t xml:space="preserve"> as a scenario; each PCN is able to make alternative financial decisions.</w:t>
      </w:r>
    </w:p>
    <w:p w14:paraId="679C68D7" w14:textId="77777777" w:rsidR="00272FC5" w:rsidRDefault="00272FC5" w:rsidP="007717DE">
      <w:pPr>
        <w:spacing w:after="0" w:line="240" w:lineRule="auto"/>
        <w:rPr>
          <w:rFonts w:ascii="Bliss 2 Light" w:hAnsi="Bliss 2 Light"/>
          <w:sz w:val="24"/>
          <w:szCs w:val="24"/>
        </w:rPr>
      </w:pPr>
    </w:p>
    <w:p w14:paraId="2728CEDF" w14:textId="00E0B534" w:rsidR="000C2164" w:rsidRDefault="000C2164" w:rsidP="007717DE">
      <w:pPr>
        <w:spacing w:after="0" w:line="240" w:lineRule="auto"/>
        <w:rPr>
          <w:rFonts w:ascii="Bliss 2 Light" w:hAnsi="Bliss 2 Light"/>
          <w:sz w:val="24"/>
          <w:szCs w:val="24"/>
        </w:rPr>
      </w:pPr>
      <w:r>
        <w:rPr>
          <w:rFonts w:ascii="Bliss 2 Light" w:hAnsi="Bliss 2 Light"/>
          <w:sz w:val="24"/>
          <w:szCs w:val="24"/>
        </w:rPr>
        <w:lastRenderedPageBreak/>
        <w:t xml:space="preserve">The LMC encourages all practices to consider these points when deciding </w:t>
      </w:r>
      <w:proofErr w:type="gramStart"/>
      <w:r>
        <w:rPr>
          <w:rFonts w:ascii="Bliss 2 Light" w:hAnsi="Bliss 2 Light"/>
          <w:sz w:val="24"/>
          <w:szCs w:val="24"/>
        </w:rPr>
        <w:t>whether or not</w:t>
      </w:r>
      <w:proofErr w:type="gramEnd"/>
      <w:r>
        <w:rPr>
          <w:rFonts w:ascii="Bliss 2 Light" w:hAnsi="Bliss 2 Light"/>
          <w:sz w:val="24"/>
          <w:szCs w:val="24"/>
        </w:rPr>
        <w:t xml:space="preserve"> continuing participation in the PCN DES is in their practice and </w:t>
      </w:r>
      <w:r w:rsidR="0073595B">
        <w:rPr>
          <w:rFonts w:ascii="Bliss 2 Light" w:hAnsi="Bliss 2 Light"/>
          <w:sz w:val="24"/>
          <w:szCs w:val="24"/>
        </w:rPr>
        <w:t>patients’</w:t>
      </w:r>
      <w:r>
        <w:rPr>
          <w:rFonts w:ascii="Bliss 2 Light" w:hAnsi="Bliss 2 Light"/>
          <w:sz w:val="24"/>
          <w:szCs w:val="24"/>
        </w:rPr>
        <w:t xml:space="preserve"> best interests.</w:t>
      </w:r>
    </w:p>
    <w:p w14:paraId="0EE7CDCB" w14:textId="6DCE900D" w:rsidR="00272FC5" w:rsidRDefault="00272FC5" w:rsidP="007717DE">
      <w:pPr>
        <w:spacing w:after="0" w:line="240" w:lineRule="auto"/>
        <w:rPr>
          <w:rFonts w:ascii="Bliss 2 Light" w:hAnsi="Bliss 2 Light"/>
          <w:sz w:val="24"/>
          <w:szCs w:val="24"/>
        </w:rPr>
      </w:pPr>
    </w:p>
    <w:p w14:paraId="2879427A" w14:textId="1D0F2186" w:rsidR="00272FC5" w:rsidRDefault="00272FC5" w:rsidP="007717DE">
      <w:pPr>
        <w:spacing w:after="0" w:line="240" w:lineRule="auto"/>
        <w:rPr>
          <w:rFonts w:ascii="Bliss 2 Light" w:hAnsi="Bliss 2 Light"/>
          <w:sz w:val="24"/>
          <w:szCs w:val="24"/>
        </w:rPr>
      </w:pPr>
      <w:r>
        <w:rPr>
          <w:rFonts w:ascii="Bliss 2 Light" w:hAnsi="Bliss 2 Light"/>
          <w:sz w:val="24"/>
          <w:szCs w:val="24"/>
        </w:rPr>
        <w:t>I hope the LMCs advice letters, answers to individual queries, and the forthcoming Roadshows will also address any queries colleagues may have.</w:t>
      </w:r>
    </w:p>
    <w:p w14:paraId="6885E4FF" w14:textId="73AF0A3D" w:rsidR="00272FC5" w:rsidRDefault="00272FC5" w:rsidP="007717DE">
      <w:pPr>
        <w:spacing w:after="0" w:line="240" w:lineRule="auto"/>
        <w:rPr>
          <w:rFonts w:ascii="Bliss 2 Light" w:hAnsi="Bliss 2 Light"/>
          <w:sz w:val="24"/>
          <w:szCs w:val="24"/>
        </w:rPr>
      </w:pPr>
    </w:p>
    <w:p w14:paraId="1D28ACD0" w14:textId="6779CA53" w:rsidR="00272FC5" w:rsidRDefault="00272FC5" w:rsidP="007717DE">
      <w:pPr>
        <w:spacing w:after="0" w:line="240" w:lineRule="auto"/>
        <w:rPr>
          <w:rFonts w:ascii="Bliss 2 Light" w:hAnsi="Bliss 2 Light"/>
          <w:sz w:val="24"/>
          <w:szCs w:val="24"/>
        </w:rPr>
      </w:pPr>
      <w:r>
        <w:rPr>
          <w:rFonts w:ascii="Bliss 2 Light" w:hAnsi="Bliss 2 Light"/>
          <w:sz w:val="24"/>
          <w:szCs w:val="24"/>
        </w:rPr>
        <w:t>With best wishes</w:t>
      </w:r>
    </w:p>
    <w:p w14:paraId="4653B92E" w14:textId="14F3EA30" w:rsidR="00272FC5" w:rsidRDefault="00272FC5" w:rsidP="007717DE">
      <w:pPr>
        <w:spacing w:after="0" w:line="240" w:lineRule="auto"/>
        <w:rPr>
          <w:rFonts w:ascii="Bliss 2 Light" w:hAnsi="Bliss 2 Light"/>
          <w:sz w:val="24"/>
          <w:szCs w:val="24"/>
        </w:rPr>
      </w:pPr>
    </w:p>
    <w:p w14:paraId="6C6BEA0F" w14:textId="02FF2B41" w:rsidR="00272FC5" w:rsidRDefault="00272FC5" w:rsidP="007717DE">
      <w:pPr>
        <w:spacing w:after="0" w:line="240" w:lineRule="auto"/>
        <w:rPr>
          <w:rFonts w:ascii="Bliss 2 Light" w:hAnsi="Bliss 2 Light"/>
          <w:sz w:val="24"/>
          <w:szCs w:val="24"/>
        </w:rPr>
      </w:pPr>
    </w:p>
    <w:p w14:paraId="122AFC03" w14:textId="1612B6B1" w:rsidR="00272FC5" w:rsidRDefault="00272FC5" w:rsidP="007717DE">
      <w:pPr>
        <w:spacing w:after="0" w:line="240" w:lineRule="auto"/>
        <w:rPr>
          <w:rFonts w:ascii="Bliss 2 Light" w:hAnsi="Bliss 2 Light"/>
          <w:sz w:val="24"/>
          <w:szCs w:val="24"/>
        </w:rPr>
      </w:pPr>
    </w:p>
    <w:p w14:paraId="66F7663C" w14:textId="63A72F88" w:rsidR="00272FC5" w:rsidRDefault="008E3EA9" w:rsidP="007717DE">
      <w:pPr>
        <w:spacing w:after="0" w:line="240" w:lineRule="auto"/>
        <w:rPr>
          <w:rFonts w:ascii="Bliss 2 Light" w:hAnsi="Bliss 2 Light"/>
          <w:sz w:val="24"/>
          <w:szCs w:val="24"/>
        </w:rPr>
      </w:pPr>
      <w:r>
        <w:rPr>
          <w:noProof/>
          <w:lang w:eastAsia="en-GB"/>
        </w:rPr>
        <w:drawing>
          <wp:inline distT="0" distB="0" distL="0" distR="0" wp14:anchorId="1FD74D6C" wp14:editId="21C1F9FC">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4D653804" w14:textId="3F22E19F" w:rsidR="00272FC5" w:rsidRDefault="00272FC5" w:rsidP="007717DE">
      <w:pPr>
        <w:spacing w:after="0" w:line="240" w:lineRule="auto"/>
        <w:rPr>
          <w:rFonts w:ascii="Bliss 2 Light" w:hAnsi="Bliss 2 Light"/>
          <w:sz w:val="24"/>
          <w:szCs w:val="24"/>
        </w:rPr>
      </w:pPr>
    </w:p>
    <w:p w14:paraId="38366761" w14:textId="1A28CD2E" w:rsidR="00272FC5" w:rsidRDefault="00272FC5" w:rsidP="007717DE">
      <w:pPr>
        <w:spacing w:after="0" w:line="240" w:lineRule="auto"/>
        <w:rPr>
          <w:rFonts w:ascii="Bliss 2 Light" w:hAnsi="Bliss 2 Light"/>
          <w:sz w:val="24"/>
          <w:szCs w:val="24"/>
        </w:rPr>
      </w:pPr>
    </w:p>
    <w:p w14:paraId="2A54287E" w14:textId="79A227E3" w:rsidR="00272FC5" w:rsidRDefault="00272FC5" w:rsidP="007717DE">
      <w:pPr>
        <w:spacing w:after="0" w:line="240" w:lineRule="auto"/>
        <w:rPr>
          <w:rFonts w:ascii="Bliss 2 Light" w:hAnsi="Bliss 2 Light"/>
          <w:sz w:val="24"/>
          <w:szCs w:val="24"/>
        </w:rPr>
      </w:pPr>
    </w:p>
    <w:p w14:paraId="5CE11F8E" w14:textId="43848099" w:rsidR="00272FC5" w:rsidRDefault="00272FC5" w:rsidP="007717DE">
      <w:pPr>
        <w:spacing w:after="0" w:line="240" w:lineRule="auto"/>
        <w:rPr>
          <w:rFonts w:ascii="Bliss 2 Light" w:hAnsi="Bliss 2 Light"/>
          <w:sz w:val="24"/>
          <w:szCs w:val="24"/>
        </w:rPr>
      </w:pPr>
    </w:p>
    <w:p w14:paraId="4D464AA4" w14:textId="76268CF5" w:rsidR="00272FC5" w:rsidRDefault="00272FC5" w:rsidP="007717DE">
      <w:pPr>
        <w:spacing w:after="0" w:line="240" w:lineRule="auto"/>
        <w:rPr>
          <w:rFonts w:ascii="Bliss 2 Light" w:hAnsi="Bliss 2 Light"/>
          <w:sz w:val="24"/>
          <w:szCs w:val="24"/>
        </w:rPr>
      </w:pPr>
      <w:r>
        <w:rPr>
          <w:rFonts w:ascii="Bliss 2 Light" w:hAnsi="Bliss 2 Light"/>
          <w:sz w:val="24"/>
          <w:szCs w:val="24"/>
        </w:rPr>
        <w:t>Dr Julius Parker</w:t>
      </w:r>
    </w:p>
    <w:p w14:paraId="3FFA78D5" w14:textId="025EDFBE" w:rsidR="00272FC5" w:rsidRDefault="00272FC5" w:rsidP="007717DE">
      <w:pPr>
        <w:spacing w:after="0" w:line="240" w:lineRule="auto"/>
        <w:rPr>
          <w:rFonts w:ascii="Bliss 2 Light" w:hAnsi="Bliss 2 Light"/>
          <w:b/>
          <w:bCs/>
          <w:sz w:val="24"/>
          <w:szCs w:val="24"/>
        </w:rPr>
      </w:pPr>
      <w:r>
        <w:rPr>
          <w:rFonts w:ascii="Bliss 2 Light" w:hAnsi="Bliss 2 Light"/>
          <w:b/>
          <w:bCs/>
          <w:sz w:val="24"/>
          <w:szCs w:val="24"/>
        </w:rPr>
        <w:t>Chief Executive</w:t>
      </w:r>
    </w:p>
    <w:p w14:paraId="0CBA2FF4" w14:textId="5DCE5266" w:rsidR="00272FC5" w:rsidRDefault="00272FC5" w:rsidP="007717DE">
      <w:pPr>
        <w:spacing w:after="0" w:line="240" w:lineRule="auto"/>
        <w:rPr>
          <w:rFonts w:ascii="Bliss 2 Light" w:hAnsi="Bliss 2 Light"/>
          <w:b/>
          <w:bCs/>
          <w:sz w:val="24"/>
          <w:szCs w:val="24"/>
        </w:rPr>
      </w:pPr>
    </w:p>
    <w:p w14:paraId="4F3BEAB6" w14:textId="48A8269A" w:rsidR="00272FC5" w:rsidRDefault="00272FC5" w:rsidP="007717DE">
      <w:pPr>
        <w:spacing w:after="0" w:line="240" w:lineRule="auto"/>
        <w:rPr>
          <w:rFonts w:ascii="Bliss 2 Light" w:hAnsi="Bliss 2 Light"/>
          <w:b/>
          <w:bCs/>
          <w:sz w:val="24"/>
          <w:szCs w:val="24"/>
        </w:rPr>
      </w:pPr>
    </w:p>
    <w:p w14:paraId="75DDBDA8" w14:textId="56C1BC75" w:rsidR="00272FC5" w:rsidRDefault="00272FC5" w:rsidP="007717DE">
      <w:pPr>
        <w:spacing w:after="0" w:line="240" w:lineRule="auto"/>
        <w:rPr>
          <w:rFonts w:ascii="Bliss 2 Light" w:hAnsi="Bliss 2 Light"/>
          <w:b/>
          <w:bCs/>
          <w:sz w:val="24"/>
          <w:szCs w:val="24"/>
        </w:rPr>
      </w:pPr>
    </w:p>
    <w:p w14:paraId="6167BA08" w14:textId="1E224A1B" w:rsidR="00272FC5" w:rsidRPr="00272FC5" w:rsidRDefault="00272FC5" w:rsidP="007717DE">
      <w:pPr>
        <w:spacing w:after="0" w:line="240" w:lineRule="auto"/>
        <w:rPr>
          <w:rFonts w:ascii="Bliss 2 Light" w:hAnsi="Bliss 2 Light"/>
          <w:b/>
          <w:bCs/>
          <w:sz w:val="24"/>
          <w:szCs w:val="24"/>
        </w:rPr>
      </w:pPr>
      <w:r>
        <w:rPr>
          <w:rFonts w:ascii="Bliss 2 Light" w:hAnsi="Bliss 2 Light"/>
          <w:b/>
          <w:bCs/>
          <w:sz w:val="24"/>
          <w:szCs w:val="24"/>
        </w:rPr>
        <w:t>Enc.</w:t>
      </w:r>
    </w:p>
    <w:p w14:paraId="12067503" w14:textId="77777777" w:rsidR="007717DE" w:rsidRPr="007717DE" w:rsidRDefault="007717DE" w:rsidP="007717DE">
      <w:pPr>
        <w:pStyle w:val="ListParagraph"/>
        <w:rPr>
          <w:rFonts w:ascii="Bliss 2 Light" w:hAnsi="Bliss 2 Light"/>
          <w:sz w:val="24"/>
          <w:szCs w:val="24"/>
        </w:rPr>
      </w:pPr>
    </w:p>
    <w:p w14:paraId="3BB46153" w14:textId="77777777" w:rsidR="007717DE" w:rsidRPr="007717DE" w:rsidRDefault="007717DE" w:rsidP="007717DE">
      <w:pPr>
        <w:spacing w:after="0" w:line="240" w:lineRule="auto"/>
        <w:rPr>
          <w:rFonts w:ascii="Bliss 2 Light" w:hAnsi="Bliss 2 Light"/>
          <w:sz w:val="24"/>
          <w:szCs w:val="24"/>
        </w:rPr>
      </w:pPr>
    </w:p>
    <w:sectPr w:rsidR="007717DE" w:rsidRPr="007717DE" w:rsidSect="008E3EA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724BA"/>
    <w:multiLevelType w:val="hybridMultilevel"/>
    <w:tmpl w:val="6B30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96ED7"/>
    <w:multiLevelType w:val="hybridMultilevel"/>
    <w:tmpl w:val="28E66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C7"/>
    <w:rsid w:val="000C2164"/>
    <w:rsid w:val="00272FC5"/>
    <w:rsid w:val="00693307"/>
    <w:rsid w:val="0073595B"/>
    <w:rsid w:val="007717DE"/>
    <w:rsid w:val="008E3EA9"/>
    <w:rsid w:val="00B0060F"/>
    <w:rsid w:val="00B4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9249"/>
  <w15:chartTrackingRefBased/>
  <w15:docId w15:val="{E8088898-98FE-440D-B8B3-EC85A7C9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AC7"/>
    <w:rPr>
      <w:color w:val="0563C1"/>
      <w:u w:val="single"/>
    </w:rPr>
  </w:style>
  <w:style w:type="paragraph" w:styleId="ListParagraph">
    <w:name w:val="List Paragraph"/>
    <w:basedOn w:val="Normal"/>
    <w:uiPriority w:val="34"/>
    <w:qFormat/>
    <w:rsid w:val="00B45AC7"/>
    <w:pPr>
      <w:ind w:left="720"/>
      <w:contextualSpacing/>
    </w:pPr>
  </w:style>
  <w:style w:type="character" w:styleId="FollowedHyperlink">
    <w:name w:val="FollowedHyperlink"/>
    <w:basedOn w:val="DefaultParagraphFont"/>
    <w:uiPriority w:val="99"/>
    <w:semiHidden/>
    <w:unhideWhenUsed/>
    <w:rsid w:val="008E3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general-medical-services-gms-ready-reckoner-2020-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3</cp:revision>
  <cp:lastPrinted>2020-03-11T09:38:00Z</cp:lastPrinted>
  <dcterms:created xsi:type="dcterms:W3CDTF">2020-03-11T09:42:00Z</dcterms:created>
  <dcterms:modified xsi:type="dcterms:W3CDTF">2020-03-11T09:42:00Z</dcterms:modified>
</cp:coreProperties>
</file>