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627A" w14:paraId="7A4289B4" w14:textId="77777777" w:rsidTr="00D5627A">
        <w:tc>
          <w:tcPr>
            <w:tcW w:w="4508" w:type="dxa"/>
          </w:tcPr>
          <w:p w14:paraId="55C92533" w14:textId="77777777" w:rsidR="00D5627A" w:rsidRDefault="00D5627A" w:rsidP="00D5627A">
            <w:pPr>
              <w:jc w:val="left"/>
              <w:rPr>
                <w:rFonts w:ascii="Bliss 2 Light" w:hAnsi="Bliss 2 Light"/>
                <w:b/>
                <w:bCs/>
                <w:sz w:val="24"/>
                <w:szCs w:val="24"/>
              </w:rPr>
            </w:pPr>
            <w:r>
              <w:rPr>
                <w:rFonts w:ascii="Bliss 2 Light" w:hAnsi="Bliss 2 Light"/>
                <w:b/>
                <w:bCs/>
                <w:sz w:val="24"/>
                <w:szCs w:val="24"/>
              </w:rPr>
              <w:t>All practices Surrey and Sussex LMCs</w:t>
            </w:r>
          </w:p>
          <w:p w14:paraId="295C958C" w14:textId="77777777" w:rsidR="00D5627A" w:rsidRDefault="00D5627A" w:rsidP="006A7909">
            <w:pPr>
              <w:jc w:val="left"/>
              <w:rPr>
                <w:rFonts w:ascii="Bliss 2 Light" w:hAnsi="Bliss 2 Light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F095C4" w14:textId="77777777" w:rsidR="00D5627A" w:rsidRDefault="00D5627A" w:rsidP="00D5627A">
            <w:pPr>
              <w:rPr>
                <w:rFonts w:ascii="Bliss 2 Light" w:hAnsi="Bliss 2 Light"/>
                <w:b/>
                <w:bCs/>
                <w:noProof/>
                <w:sz w:val="24"/>
                <w:szCs w:val="24"/>
                <w:lang w:eastAsia="en-GB"/>
              </w:rPr>
            </w:pPr>
          </w:p>
          <w:p w14:paraId="1A040CD2" w14:textId="77777777" w:rsidR="00D5627A" w:rsidRDefault="00D5627A" w:rsidP="00D5627A">
            <w:pPr>
              <w:rPr>
                <w:rFonts w:ascii="Bliss 2 Light" w:hAnsi="Bliss 2 Light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9D9913" wp14:editId="770651C7">
                  <wp:extent cx="2133600" cy="790575"/>
                  <wp:effectExtent l="0" t="0" r="0" b="9525"/>
                  <wp:docPr id="2" name="Picture 2" descr="U:\Marketing and Communications\Marketing Literature\SSLMCs logo\lmcs NEW REV logo gen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Marketing and Communications\Marketing Literature\SSLMCs logo\lmcs NEW REV logo gene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41A18" w14:textId="4DC2346D" w:rsidR="00D5627A" w:rsidRPr="00D5627A" w:rsidRDefault="00D5627A" w:rsidP="00D5627A">
            <w:pPr>
              <w:rPr>
                <w:rFonts w:ascii="Bliss 2 Light" w:hAnsi="Bliss 2 Light"/>
                <w:noProof/>
                <w:sz w:val="24"/>
                <w:szCs w:val="24"/>
                <w:lang w:eastAsia="en-GB"/>
              </w:rPr>
            </w:pPr>
            <w:r w:rsidRPr="00D5627A">
              <w:rPr>
                <w:rFonts w:ascii="Bliss 2 Light" w:hAnsi="Bliss 2 Light"/>
                <w:noProof/>
                <w:sz w:val="24"/>
                <w:szCs w:val="24"/>
                <w:lang w:eastAsia="en-GB"/>
              </w:rPr>
              <w:t>The White House, 18 Church Road, Leatherhead, KT22 8BB</w:t>
            </w:r>
          </w:p>
          <w:p w14:paraId="5FE1F360" w14:textId="01B76CE1" w:rsidR="00D5627A" w:rsidRDefault="00D5627A" w:rsidP="00D5627A">
            <w:pPr>
              <w:rPr>
                <w:rFonts w:ascii="Bliss 2 Light" w:hAnsi="Bliss 2 Light"/>
                <w:b/>
                <w:bCs/>
                <w:sz w:val="24"/>
                <w:szCs w:val="24"/>
              </w:rPr>
            </w:pPr>
            <w:r w:rsidRPr="00D5627A">
              <w:rPr>
                <w:rFonts w:ascii="Bliss 2 Light" w:hAnsi="Bliss 2 Light"/>
                <w:noProof/>
                <w:sz w:val="24"/>
                <w:szCs w:val="24"/>
                <w:lang w:eastAsia="en-GB"/>
              </w:rPr>
              <w:t>Tel: 01372 389270</w:t>
            </w:r>
          </w:p>
        </w:tc>
        <w:bookmarkStart w:id="0" w:name="_GoBack"/>
        <w:bookmarkEnd w:id="0"/>
      </w:tr>
    </w:tbl>
    <w:p w14:paraId="28B6AEFB" w14:textId="77777777" w:rsidR="00D5627A" w:rsidRDefault="00D5627A" w:rsidP="006A7909">
      <w:pPr>
        <w:jc w:val="left"/>
        <w:rPr>
          <w:rFonts w:ascii="Bliss 2 Light" w:hAnsi="Bliss 2 Light"/>
          <w:b/>
          <w:bCs/>
          <w:sz w:val="24"/>
          <w:szCs w:val="24"/>
        </w:rPr>
      </w:pPr>
    </w:p>
    <w:p w14:paraId="00F2FB71" w14:textId="63EC4ACB" w:rsidR="006A7909" w:rsidRDefault="006A7909" w:rsidP="00D5627A">
      <w:pPr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14</w:t>
      </w:r>
      <w:r w:rsidRPr="006A7909">
        <w:rPr>
          <w:rFonts w:ascii="Bliss 2 Light" w:hAnsi="Bliss 2 Light"/>
          <w:sz w:val="24"/>
          <w:szCs w:val="24"/>
          <w:vertAlign w:val="superscript"/>
        </w:rPr>
        <w:t>th</w:t>
      </w:r>
      <w:r>
        <w:rPr>
          <w:rFonts w:ascii="Bliss 2 Light" w:hAnsi="Bliss 2 Light"/>
          <w:sz w:val="24"/>
          <w:szCs w:val="24"/>
        </w:rPr>
        <w:t xml:space="preserve"> October 2019</w:t>
      </w:r>
    </w:p>
    <w:p w14:paraId="7AFE3E83" w14:textId="06B10F98" w:rsidR="006A7909" w:rsidRDefault="006A7909" w:rsidP="006A7909">
      <w:pPr>
        <w:rPr>
          <w:rFonts w:ascii="Bliss 2 Light" w:hAnsi="Bliss 2 Light"/>
          <w:sz w:val="24"/>
          <w:szCs w:val="24"/>
        </w:rPr>
      </w:pPr>
    </w:p>
    <w:p w14:paraId="51AFF230" w14:textId="6391A106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Dear Colleagues</w:t>
      </w:r>
    </w:p>
    <w:p w14:paraId="64DB4A21" w14:textId="4BB7C3DB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63E189AA" w14:textId="477073E9" w:rsidR="006A7909" w:rsidRDefault="006A7909" w:rsidP="006A7909">
      <w:pPr>
        <w:jc w:val="left"/>
        <w:rPr>
          <w:rFonts w:ascii="Bliss 2 Light" w:hAnsi="Bliss 2 Light"/>
          <w:b/>
          <w:bCs/>
          <w:sz w:val="24"/>
          <w:szCs w:val="24"/>
        </w:rPr>
      </w:pPr>
      <w:r>
        <w:rPr>
          <w:rFonts w:ascii="Bliss 2 Light" w:hAnsi="Bliss 2 Light"/>
          <w:b/>
          <w:bCs/>
          <w:sz w:val="24"/>
          <w:szCs w:val="24"/>
        </w:rPr>
        <w:t>Debt and Mental Health Form (DMHEF)</w:t>
      </w:r>
    </w:p>
    <w:p w14:paraId="401B803F" w14:textId="7A13B91D" w:rsidR="006A7909" w:rsidRDefault="006A7909" w:rsidP="006A7909">
      <w:pPr>
        <w:jc w:val="left"/>
        <w:rPr>
          <w:rFonts w:ascii="Bliss 2 Light" w:hAnsi="Bliss 2 Light"/>
          <w:b/>
          <w:bCs/>
          <w:sz w:val="24"/>
          <w:szCs w:val="24"/>
        </w:rPr>
      </w:pPr>
    </w:p>
    <w:p w14:paraId="61B191A2" w14:textId="588D4C3A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A new Debt and Mental Health Form (DMHEF) has been introduced from 1</w:t>
      </w:r>
      <w:r w:rsidRPr="006A7909">
        <w:rPr>
          <w:rFonts w:ascii="Bliss 2 Light" w:hAnsi="Bliss 2 Light"/>
          <w:sz w:val="24"/>
          <w:szCs w:val="24"/>
          <w:vertAlign w:val="superscript"/>
        </w:rPr>
        <w:t>st</w:t>
      </w:r>
      <w:r>
        <w:rPr>
          <w:rFonts w:ascii="Bliss 2 Light" w:hAnsi="Bliss 2 Light"/>
          <w:sz w:val="24"/>
          <w:szCs w:val="24"/>
        </w:rPr>
        <w:t xml:space="preserve"> October; this is to enable patients who need evidence of a mental health condition as part of seeking help with their finances.</w:t>
      </w:r>
    </w:p>
    <w:p w14:paraId="3FB22EB4" w14:textId="31B67CDE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40E12372" w14:textId="48F6AF7B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Detailed guidance is available on the Money Advice Trust Website (</w:t>
      </w:r>
      <w:hyperlink r:id="rId6" w:history="1">
        <w:r w:rsidRPr="003D2220">
          <w:rPr>
            <w:rStyle w:val="Hyperlink"/>
            <w:rFonts w:ascii="Bliss 2 Light" w:hAnsi="Bliss 2 Light"/>
            <w:sz w:val="24"/>
            <w:szCs w:val="24"/>
          </w:rPr>
          <w:t>http://www.moneyad</w:t>
        </w:r>
        <w:r w:rsidRPr="003D2220">
          <w:rPr>
            <w:rStyle w:val="Hyperlink"/>
            <w:rFonts w:ascii="Bliss 2 Light" w:hAnsi="Bliss 2 Light"/>
            <w:sz w:val="24"/>
            <w:szCs w:val="24"/>
          </w:rPr>
          <w:t>v</w:t>
        </w:r>
        <w:r w:rsidRPr="003D2220">
          <w:rPr>
            <w:rStyle w:val="Hyperlink"/>
            <w:rFonts w:ascii="Bliss 2 Light" w:hAnsi="Bliss 2 Light"/>
            <w:sz w:val="24"/>
            <w:szCs w:val="24"/>
          </w:rPr>
          <w:t>icetrust.org</w:t>
        </w:r>
      </w:hyperlink>
      <w:r>
        <w:rPr>
          <w:rFonts w:ascii="Bliss 2 Light" w:hAnsi="Bliss 2 Light"/>
          <w:sz w:val="24"/>
          <w:szCs w:val="24"/>
        </w:rPr>
        <w:t xml:space="preserve"> ),  but, in summary if GPs are requested to complete the form they should:-</w:t>
      </w:r>
    </w:p>
    <w:p w14:paraId="57C8537D" w14:textId="3B37D3C7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67C44C50" w14:textId="55E27AB3" w:rsidR="006A7909" w:rsidRDefault="006A7909" w:rsidP="006A7909">
      <w:pPr>
        <w:pStyle w:val="ListParagraph"/>
        <w:numPr>
          <w:ilvl w:val="0"/>
          <w:numId w:val="1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Check you have a DMHEF form and an accompanying signed consent form giving the patients permission to complete it</w:t>
      </w:r>
    </w:p>
    <w:p w14:paraId="6C8A102C" w14:textId="4C1186F9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5773E3C2" w14:textId="3822261C" w:rsidR="006A7909" w:rsidRDefault="006A7909" w:rsidP="006A7909">
      <w:pPr>
        <w:pStyle w:val="ListParagraph"/>
        <w:numPr>
          <w:ilvl w:val="0"/>
          <w:numId w:val="1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Completion of the form requires answering two questions:</w:t>
      </w:r>
    </w:p>
    <w:p w14:paraId="111CCEA0" w14:textId="4FAAAB02" w:rsidR="006A7909" w:rsidRDefault="006A7909" w:rsidP="006A7909">
      <w:pPr>
        <w:pStyle w:val="ListParagraph"/>
        <w:numPr>
          <w:ilvl w:val="1"/>
          <w:numId w:val="1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Answering yes or no to whether a patient has a mental health condition, and, if yes</w:t>
      </w:r>
    </w:p>
    <w:p w14:paraId="616F560C" w14:textId="00DFBB48" w:rsidR="006A7909" w:rsidRDefault="006A7909" w:rsidP="006A7909">
      <w:pPr>
        <w:pStyle w:val="ListParagraph"/>
        <w:numPr>
          <w:ilvl w:val="1"/>
          <w:numId w:val="1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Giving the name of the condition</w:t>
      </w:r>
    </w:p>
    <w:p w14:paraId="22206EF5" w14:textId="00B983E6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6805B7C3" w14:textId="5B280824" w:rsidR="006A7909" w:rsidRDefault="006A7909" w:rsidP="006A7909">
      <w:pPr>
        <w:pStyle w:val="ListParagraph"/>
        <w:numPr>
          <w:ilvl w:val="0"/>
          <w:numId w:val="2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There is no need to complete the </w:t>
      </w:r>
      <w:r w:rsidR="008E256E">
        <w:rPr>
          <w:rFonts w:ascii="Bliss 2 Light" w:hAnsi="Bliss 2 Light"/>
          <w:sz w:val="24"/>
          <w:szCs w:val="24"/>
        </w:rPr>
        <w:t xml:space="preserve">optional questions on the </w:t>
      </w:r>
      <w:r>
        <w:rPr>
          <w:rFonts w:ascii="Bliss 2 Light" w:hAnsi="Bliss 2 Light"/>
          <w:sz w:val="24"/>
          <w:szCs w:val="24"/>
        </w:rPr>
        <w:t xml:space="preserve">reverse of the form, which do ask </w:t>
      </w:r>
      <w:r w:rsidR="008E256E">
        <w:rPr>
          <w:rFonts w:ascii="Bliss 2 Light" w:hAnsi="Bliss 2 Light"/>
          <w:sz w:val="24"/>
          <w:szCs w:val="24"/>
        </w:rPr>
        <w:t>for more details about the impact</w:t>
      </w:r>
      <w:r>
        <w:rPr>
          <w:rFonts w:ascii="Bliss 2 Light" w:hAnsi="Bliss 2 Light"/>
          <w:sz w:val="24"/>
          <w:szCs w:val="24"/>
        </w:rPr>
        <w:t xml:space="preserve"> of the health condition on a </w:t>
      </w:r>
      <w:r w:rsidR="008E256E">
        <w:rPr>
          <w:rFonts w:ascii="Bliss 2 Light" w:hAnsi="Bliss 2 Light"/>
          <w:sz w:val="24"/>
          <w:szCs w:val="24"/>
        </w:rPr>
        <w:t>person’s</w:t>
      </w:r>
      <w:r>
        <w:rPr>
          <w:rFonts w:ascii="Bliss 2 Light" w:hAnsi="Bliss 2 Light"/>
          <w:sz w:val="24"/>
          <w:szCs w:val="24"/>
        </w:rPr>
        <w:t xml:space="preserve"> ability to manage money and on their </w:t>
      </w:r>
      <w:r w:rsidR="008A23CD">
        <w:rPr>
          <w:rFonts w:ascii="Bliss 2 Light" w:hAnsi="Bliss 2 Light"/>
          <w:sz w:val="24"/>
          <w:szCs w:val="24"/>
        </w:rPr>
        <w:t>well-being</w:t>
      </w:r>
    </w:p>
    <w:p w14:paraId="4D4E1B62" w14:textId="27B52E4B" w:rsidR="006A7909" w:rsidRDefault="006A7909" w:rsidP="006A7909">
      <w:pPr>
        <w:jc w:val="left"/>
        <w:rPr>
          <w:rFonts w:ascii="Bliss 2 Light" w:hAnsi="Bliss 2 Light"/>
          <w:sz w:val="24"/>
          <w:szCs w:val="24"/>
        </w:rPr>
      </w:pPr>
    </w:p>
    <w:p w14:paraId="6CBDB601" w14:textId="72F6A83C" w:rsidR="006A7909" w:rsidRDefault="006A7909" w:rsidP="006A7909">
      <w:pPr>
        <w:pStyle w:val="ListParagraph"/>
        <w:numPr>
          <w:ilvl w:val="0"/>
          <w:numId w:val="2"/>
        </w:num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GPs cannot ch</w:t>
      </w:r>
      <w:r w:rsidR="008E256E">
        <w:rPr>
          <w:rFonts w:ascii="Bliss 2 Light" w:hAnsi="Bliss 2 Light"/>
          <w:sz w:val="24"/>
          <w:szCs w:val="24"/>
        </w:rPr>
        <w:t>arge their NHS registered patients for completing this form.</w:t>
      </w:r>
    </w:p>
    <w:p w14:paraId="6867E2AA" w14:textId="77777777" w:rsidR="008E256E" w:rsidRPr="008E256E" w:rsidRDefault="008E256E" w:rsidP="008E256E">
      <w:pPr>
        <w:pStyle w:val="ListParagraph"/>
        <w:rPr>
          <w:rFonts w:ascii="Bliss 2 Light" w:hAnsi="Bliss 2 Light"/>
          <w:sz w:val="24"/>
          <w:szCs w:val="24"/>
        </w:rPr>
      </w:pPr>
    </w:p>
    <w:p w14:paraId="7BA0F1C4" w14:textId="25A8D2CD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A wider range of health and social professions are also able to complete this form, so fewer requests should be made of GPs.</w:t>
      </w:r>
    </w:p>
    <w:p w14:paraId="58ABCAB4" w14:textId="518C3920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</w:p>
    <w:p w14:paraId="0B786362" w14:textId="052FFCDC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Much more rarely, a bank or other financial institution may request </w:t>
      </w:r>
      <w:r w:rsidR="008A23CD">
        <w:rPr>
          <w:rFonts w:ascii="Bliss 2 Light" w:hAnsi="Bliss 2 Light"/>
          <w:sz w:val="24"/>
          <w:szCs w:val="24"/>
        </w:rPr>
        <w:t xml:space="preserve">that </w:t>
      </w:r>
      <w:r>
        <w:rPr>
          <w:rFonts w:ascii="Bliss 2 Light" w:hAnsi="Bliss 2 Light"/>
          <w:sz w:val="24"/>
          <w:szCs w:val="24"/>
        </w:rPr>
        <w:t>a more detail</w:t>
      </w:r>
      <w:r w:rsidR="008A23CD">
        <w:rPr>
          <w:rFonts w:ascii="Bliss 2 Light" w:hAnsi="Bliss 2 Light"/>
          <w:sz w:val="24"/>
          <w:szCs w:val="24"/>
        </w:rPr>
        <w:t>ed</w:t>
      </w:r>
      <w:r>
        <w:rPr>
          <w:rFonts w:ascii="Bliss 2 Light" w:hAnsi="Bliss 2 Light"/>
          <w:sz w:val="24"/>
          <w:szCs w:val="24"/>
        </w:rPr>
        <w:t xml:space="preserve"> form</w:t>
      </w:r>
      <w:r w:rsidR="008A23CD">
        <w:rPr>
          <w:rFonts w:ascii="Bliss 2 Light" w:hAnsi="Bliss 2 Light"/>
          <w:sz w:val="24"/>
          <w:szCs w:val="24"/>
        </w:rPr>
        <w:t xml:space="preserve"> or assessment</w:t>
      </w:r>
      <w:r>
        <w:rPr>
          <w:rFonts w:ascii="Bliss 2 Light" w:hAnsi="Bliss 2 Light"/>
          <w:sz w:val="24"/>
          <w:szCs w:val="24"/>
        </w:rPr>
        <w:t xml:space="preserve"> is completed, for which a fee can be charged.</w:t>
      </w:r>
    </w:p>
    <w:p w14:paraId="00B4E755" w14:textId="371B6B8A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</w:p>
    <w:p w14:paraId="31F967CC" w14:textId="12E8A767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I hope this background is helpful.</w:t>
      </w:r>
    </w:p>
    <w:p w14:paraId="026AE6C6" w14:textId="5A23F0ED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</w:p>
    <w:p w14:paraId="2FDE9A61" w14:textId="61CB026C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With best wishes</w:t>
      </w:r>
    </w:p>
    <w:p w14:paraId="3649FAE6" w14:textId="2F026A10" w:rsidR="008E256E" w:rsidRDefault="00D5627A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ABB092" wp14:editId="77A192D3">
            <wp:extent cx="2047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2" b="38750"/>
                    <a:stretch/>
                  </pic:blipFill>
                  <pic:spPr bwMode="auto">
                    <a:xfrm>
                      <a:off x="0" y="0"/>
                      <a:ext cx="2050152" cy="9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2870A" w14:textId="0A536394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</w:p>
    <w:p w14:paraId="48CBB226" w14:textId="7B4C5FCE" w:rsidR="008E256E" w:rsidRDefault="008E256E" w:rsidP="008E256E">
      <w:pPr>
        <w:jc w:val="left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Dr Julius Parker</w:t>
      </w:r>
    </w:p>
    <w:p w14:paraId="3C046CD4" w14:textId="4FF7559A" w:rsidR="008E256E" w:rsidRPr="008E256E" w:rsidRDefault="008E256E" w:rsidP="008E256E">
      <w:pPr>
        <w:jc w:val="left"/>
        <w:rPr>
          <w:rFonts w:ascii="Bliss 2 Light" w:hAnsi="Bliss 2 Light"/>
          <w:b/>
          <w:bCs/>
          <w:sz w:val="24"/>
          <w:szCs w:val="24"/>
        </w:rPr>
      </w:pPr>
      <w:r>
        <w:rPr>
          <w:rFonts w:ascii="Bliss 2 Light" w:hAnsi="Bliss 2 Light"/>
          <w:b/>
          <w:bCs/>
          <w:sz w:val="24"/>
          <w:szCs w:val="24"/>
        </w:rPr>
        <w:t>Chief Executive</w:t>
      </w:r>
    </w:p>
    <w:sectPr w:rsidR="008E256E" w:rsidRPr="008E256E" w:rsidSect="00D5627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iss 2 Light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1F27"/>
    <w:multiLevelType w:val="hybridMultilevel"/>
    <w:tmpl w:val="27EA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AE2"/>
    <w:multiLevelType w:val="hybridMultilevel"/>
    <w:tmpl w:val="89F6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09"/>
    <w:rsid w:val="006A7909"/>
    <w:rsid w:val="008A23CD"/>
    <w:rsid w:val="008E256E"/>
    <w:rsid w:val="00B13B41"/>
    <w:rsid w:val="00D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87E8"/>
  <w15:chartTrackingRefBased/>
  <w15:docId w15:val="{9B1A6116-A873-4BE9-A5D7-FB7A4C0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909"/>
    <w:pPr>
      <w:ind w:left="720"/>
      <w:contextualSpacing/>
    </w:pPr>
  </w:style>
  <w:style w:type="table" w:styleId="TableGrid">
    <w:name w:val="Table Grid"/>
    <w:basedOn w:val="TableNormal"/>
    <w:uiPriority w:val="39"/>
    <w:rsid w:val="00D5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6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advice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2</cp:revision>
  <cp:lastPrinted>2019-10-14T12:23:00Z</cp:lastPrinted>
  <dcterms:created xsi:type="dcterms:W3CDTF">2019-10-14T12:29:00Z</dcterms:created>
  <dcterms:modified xsi:type="dcterms:W3CDTF">2019-10-14T12:29:00Z</dcterms:modified>
</cp:coreProperties>
</file>