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178E" w14:paraId="75AC03B6" w14:textId="77777777" w:rsidTr="0034178E">
        <w:tc>
          <w:tcPr>
            <w:tcW w:w="4508" w:type="dxa"/>
          </w:tcPr>
          <w:p w14:paraId="66C9CC36" w14:textId="5037FFC7" w:rsidR="0034178E" w:rsidRPr="0034178E" w:rsidRDefault="0034178E" w:rsidP="004C08DC">
            <w:pPr>
              <w:jc w:val="left"/>
              <w:rPr>
                <w:rFonts w:ascii="Bliss 2 Light" w:hAnsi="Bliss 2 Light"/>
                <w:b/>
                <w:bCs/>
                <w:sz w:val="24"/>
                <w:szCs w:val="24"/>
              </w:rPr>
            </w:pPr>
            <w:r>
              <w:rPr>
                <w:rFonts w:ascii="Bliss 2 Light" w:hAnsi="Bliss 2 Light"/>
                <w:b/>
                <w:bCs/>
                <w:sz w:val="24"/>
                <w:szCs w:val="24"/>
              </w:rPr>
              <w:t>To all practices – Surrey &amp; Sussex LMCs</w:t>
            </w:r>
          </w:p>
        </w:tc>
        <w:tc>
          <w:tcPr>
            <w:tcW w:w="4508" w:type="dxa"/>
          </w:tcPr>
          <w:p w14:paraId="712D49C8" w14:textId="77777777" w:rsidR="0034178E" w:rsidRPr="0034178E" w:rsidRDefault="0034178E" w:rsidP="004C08DC">
            <w:pPr>
              <w:jc w:val="left"/>
              <w:rPr>
                <w:rFonts w:ascii="Bliss 2 Light" w:hAnsi="Bliss 2 Light"/>
                <w:sz w:val="24"/>
                <w:szCs w:val="24"/>
              </w:rPr>
            </w:pPr>
          </w:p>
          <w:p w14:paraId="4475A68F" w14:textId="77777777" w:rsidR="0034178E" w:rsidRPr="0034178E" w:rsidRDefault="0034178E" w:rsidP="0034178E">
            <w:pPr>
              <w:rPr>
                <w:rFonts w:ascii="Bliss 2 Light" w:hAnsi="Bliss 2 Light"/>
                <w:sz w:val="24"/>
                <w:szCs w:val="24"/>
              </w:rPr>
            </w:pPr>
            <w:r w:rsidRPr="0034178E">
              <w:rPr>
                <w:rFonts w:ascii="Bliss 2 Light" w:hAnsi="Bliss 2 Light"/>
                <w:noProof/>
                <w:sz w:val="24"/>
                <w:szCs w:val="24"/>
                <w:lang w:eastAsia="en-GB"/>
              </w:rPr>
              <w:drawing>
                <wp:inline distT="0" distB="0" distL="0" distR="0" wp14:anchorId="730489FE" wp14:editId="3E4286A7">
                  <wp:extent cx="2133600" cy="600075"/>
                  <wp:effectExtent l="0" t="0" r="0" b="9525"/>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inline>
              </w:drawing>
            </w:r>
          </w:p>
          <w:p w14:paraId="18FF816F" w14:textId="01CB299E" w:rsidR="0034178E" w:rsidRPr="0034178E" w:rsidRDefault="0034178E" w:rsidP="0034178E">
            <w:pPr>
              <w:rPr>
                <w:rFonts w:ascii="Bliss 2 Light" w:hAnsi="Bliss 2 Light"/>
                <w:sz w:val="24"/>
                <w:szCs w:val="24"/>
              </w:rPr>
            </w:pPr>
            <w:r w:rsidRPr="0034178E">
              <w:rPr>
                <w:rFonts w:ascii="Bliss 2 Light" w:hAnsi="Bliss 2 Light"/>
                <w:sz w:val="24"/>
                <w:szCs w:val="24"/>
              </w:rPr>
              <w:t>The White House, 18 Church Road, Leatherhead, KT22 8BB</w:t>
            </w:r>
          </w:p>
          <w:p w14:paraId="66AC28F4" w14:textId="10015258" w:rsidR="0034178E" w:rsidRPr="0034178E" w:rsidRDefault="0034178E" w:rsidP="0034178E">
            <w:pPr>
              <w:rPr>
                <w:rFonts w:ascii="Bliss 2 Light" w:hAnsi="Bliss 2 Light"/>
                <w:sz w:val="24"/>
                <w:szCs w:val="24"/>
              </w:rPr>
            </w:pPr>
            <w:r w:rsidRPr="0034178E">
              <w:rPr>
                <w:rFonts w:ascii="Bliss 2 Light" w:hAnsi="Bliss 2 Light"/>
                <w:sz w:val="24"/>
                <w:szCs w:val="24"/>
              </w:rPr>
              <w:t>Tel: 01372 389270</w:t>
            </w:r>
          </w:p>
        </w:tc>
      </w:tr>
    </w:tbl>
    <w:p w14:paraId="2CF9BF6D" w14:textId="043191EB" w:rsidR="004C08DC" w:rsidRDefault="004C08DC" w:rsidP="004C08DC">
      <w:pPr>
        <w:jc w:val="left"/>
      </w:pPr>
    </w:p>
    <w:p w14:paraId="7CB78543" w14:textId="0DF5814E" w:rsidR="004C08DC" w:rsidRDefault="004C08DC" w:rsidP="004C08DC">
      <w:pPr>
        <w:rPr>
          <w:rFonts w:ascii="Bliss 2 Light" w:hAnsi="Bliss 2 Light"/>
          <w:sz w:val="24"/>
          <w:szCs w:val="24"/>
        </w:rPr>
      </w:pPr>
      <w:r w:rsidRPr="004C08DC">
        <w:rPr>
          <w:rFonts w:ascii="Bliss 2 Light" w:hAnsi="Bliss 2 Light"/>
          <w:sz w:val="24"/>
          <w:szCs w:val="24"/>
        </w:rPr>
        <w:t>14</w:t>
      </w:r>
      <w:r w:rsidRPr="004C08DC">
        <w:rPr>
          <w:rFonts w:ascii="Bliss 2 Light" w:hAnsi="Bliss 2 Light"/>
          <w:sz w:val="24"/>
          <w:szCs w:val="24"/>
          <w:vertAlign w:val="superscript"/>
        </w:rPr>
        <w:t>th</w:t>
      </w:r>
      <w:r w:rsidRPr="004C08DC">
        <w:rPr>
          <w:rFonts w:ascii="Bliss 2 Light" w:hAnsi="Bliss 2 Light"/>
          <w:sz w:val="24"/>
          <w:szCs w:val="24"/>
        </w:rPr>
        <w:t xml:space="preserve"> October 2019</w:t>
      </w:r>
    </w:p>
    <w:p w14:paraId="1E6E3A98" w14:textId="05CAA7F9" w:rsidR="004C08DC" w:rsidRDefault="004C08DC" w:rsidP="004C08DC">
      <w:pPr>
        <w:rPr>
          <w:rFonts w:ascii="Bliss 2 Light" w:hAnsi="Bliss 2 Light"/>
          <w:sz w:val="24"/>
          <w:szCs w:val="24"/>
        </w:rPr>
      </w:pPr>
    </w:p>
    <w:p w14:paraId="4A9AAB43" w14:textId="2668635B" w:rsidR="004C08DC" w:rsidRDefault="004C08DC" w:rsidP="004C08DC">
      <w:pPr>
        <w:jc w:val="left"/>
        <w:rPr>
          <w:rFonts w:ascii="Bliss 2 Light" w:hAnsi="Bliss 2 Light"/>
          <w:sz w:val="24"/>
          <w:szCs w:val="24"/>
        </w:rPr>
      </w:pPr>
      <w:r>
        <w:rPr>
          <w:rFonts w:ascii="Bliss 2 Light" w:hAnsi="Bliss 2 Light"/>
          <w:sz w:val="24"/>
          <w:szCs w:val="24"/>
        </w:rPr>
        <w:t>Dear Colleagues</w:t>
      </w:r>
    </w:p>
    <w:p w14:paraId="6E1AEC79" w14:textId="19EEC549" w:rsidR="004C08DC" w:rsidRDefault="004C08DC" w:rsidP="004C08DC">
      <w:pPr>
        <w:jc w:val="left"/>
        <w:rPr>
          <w:rFonts w:ascii="Bliss 2 Light" w:hAnsi="Bliss 2 Light"/>
          <w:sz w:val="24"/>
          <w:szCs w:val="24"/>
        </w:rPr>
      </w:pPr>
    </w:p>
    <w:p w14:paraId="78134793" w14:textId="4796114B" w:rsidR="004C08DC" w:rsidRPr="00CA3696" w:rsidRDefault="004C08DC" w:rsidP="004C08DC">
      <w:pPr>
        <w:jc w:val="left"/>
        <w:rPr>
          <w:rFonts w:ascii="Bliss 2 Light" w:hAnsi="Bliss 2 Light"/>
          <w:b/>
          <w:bCs/>
          <w:sz w:val="28"/>
          <w:szCs w:val="28"/>
        </w:rPr>
      </w:pPr>
      <w:r w:rsidRPr="00CA3696">
        <w:rPr>
          <w:rFonts w:ascii="Bliss 2 Light" w:hAnsi="Bliss 2 Light"/>
          <w:b/>
          <w:bCs/>
          <w:sz w:val="28"/>
          <w:szCs w:val="28"/>
        </w:rPr>
        <w:t>Digital First Consultation outcome and on-line consultation support</w:t>
      </w:r>
    </w:p>
    <w:p w14:paraId="63224A01" w14:textId="357DE773" w:rsidR="004C08DC" w:rsidRDefault="004C08DC" w:rsidP="004C08DC">
      <w:pPr>
        <w:jc w:val="left"/>
        <w:rPr>
          <w:rFonts w:ascii="Bliss 2 Light" w:hAnsi="Bliss 2 Light"/>
          <w:b/>
          <w:bCs/>
          <w:sz w:val="24"/>
          <w:szCs w:val="24"/>
        </w:rPr>
      </w:pPr>
    </w:p>
    <w:p w14:paraId="3A24ED83" w14:textId="5372F065" w:rsidR="004C08DC" w:rsidRDefault="004C08DC" w:rsidP="004C08DC">
      <w:pPr>
        <w:jc w:val="left"/>
        <w:rPr>
          <w:rFonts w:ascii="Bliss 2 Light" w:hAnsi="Bliss 2 Light"/>
          <w:sz w:val="24"/>
          <w:szCs w:val="24"/>
        </w:rPr>
      </w:pPr>
      <w:r>
        <w:rPr>
          <w:rFonts w:ascii="Bliss 2 Light" w:hAnsi="Bliss 2 Light"/>
          <w:sz w:val="24"/>
          <w:szCs w:val="24"/>
        </w:rPr>
        <w:t xml:space="preserve">I am writing to highlight to </w:t>
      </w:r>
      <w:r w:rsidR="0046128A">
        <w:rPr>
          <w:rFonts w:ascii="Bliss 2 Light" w:hAnsi="Bliss 2 Light"/>
          <w:sz w:val="24"/>
          <w:szCs w:val="24"/>
        </w:rPr>
        <w:t>colleagues’</w:t>
      </w:r>
      <w:r>
        <w:rPr>
          <w:rFonts w:ascii="Bliss 2 Light" w:hAnsi="Bliss 2 Light"/>
          <w:sz w:val="24"/>
          <w:szCs w:val="24"/>
        </w:rPr>
        <w:t xml:space="preserve"> recent developments – some of which have been discussed in the medical press.</w:t>
      </w:r>
    </w:p>
    <w:p w14:paraId="17B9A788" w14:textId="485CBA90" w:rsidR="004C08DC" w:rsidRDefault="004C08DC" w:rsidP="004C08DC">
      <w:pPr>
        <w:jc w:val="left"/>
        <w:rPr>
          <w:rFonts w:ascii="Bliss 2 Light" w:hAnsi="Bliss 2 Light"/>
          <w:sz w:val="24"/>
          <w:szCs w:val="24"/>
        </w:rPr>
      </w:pPr>
    </w:p>
    <w:p w14:paraId="29734AD5" w14:textId="77777777" w:rsidR="004C08DC" w:rsidRDefault="004C08DC" w:rsidP="004C08DC">
      <w:pPr>
        <w:jc w:val="left"/>
        <w:rPr>
          <w:rFonts w:ascii="Bliss 2 Light" w:hAnsi="Bliss 2 Light"/>
          <w:sz w:val="24"/>
          <w:szCs w:val="24"/>
        </w:rPr>
      </w:pPr>
      <w:r>
        <w:rPr>
          <w:rFonts w:ascii="Bliss 2 Light" w:hAnsi="Bliss 2 Light"/>
          <w:sz w:val="24"/>
          <w:szCs w:val="24"/>
        </w:rPr>
        <w:t>Over the summer NHS undertook a consultation on patient registration and contracting rules with specific reference to ‘digital first’ providers such as Babylon and GP at Hand.</w:t>
      </w:r>
    </w:p>
    <w:p w14:paraId="79FB17D9" w14:textId="77777777" w:rsidR="004C08DC" w:rsidRDefault="004C08DC" w:rsidP="004C08DC">
      <w:pPr>
        <w:jc w:val="left"/>
        <w:rPr>
          <w:rFonts w:ascii="Bliss 2 Light" w:hAnsi="Bliss 2 Light"/>
          <w:sz w:val="24"/>
          <w:szCs w:val="24"/>
        </w:rPr>
      </w:pPr>
    </w:p>
    <w:p w14:paraId="2D95EEEF" w14:textId="7014B3C3" w:rsidR="004C08DC" w:rsidRDefault="004C08DC" w:rsidP="004C08DC">
      <w:pPr>
        <w:jc w:val="left"/>
        <w:rPr>
          <w:rFonts w:ascii="Bliss 2 Light" w:hAnsi="Bliss 2 Light"/>
          <w:sz w:val="24"/>
          <w:szCs w:val="24"/>
        </w:rPr>
      </w:pPr>
      <w:r>
        <w:rPr>
          <w:rFonts w:ascii="Bliss 2 Light" w:hAnsi="Bliss 2 Light"/>
          <w:sz w:val="24"/>
          <w:szCs w:val="24"/>
        </w:rPr>
        <w:t>The outcome of this is summarised below, noting that some of these proposals require GP contract change, and so await negotiation, and some retain the status quo and will mean, in effect, no change for existing practices.  Other</w:t>
      </w:r>
      <w:r w:rsidR="00CA3696">
        <w:rPr>
          <w:rFonts w:ascii="Bliss 2 Light" w:hAnsi="Bliss 2 Light"/>
          <w:sz w:val="24"/>
          <w:szCs w:val="24"/>
        </w:rPr>
        <w:t xml:space="preserve"> proposals</w:t>
      </w:r>
      <w:r>
        <w:rPr>
          <w:rFonts w:ascii="Bliss 2 Light" w:hAnsi="Bliss 2 Light"/>
          <w:sz w:val="24"/>
          <w:szCs w:val="24"/>
        </w:rPr>
        <w:t xml:space="preserve"> will certainly require further clarification.</w:t>
      </w:r>
    </w:p>
    <w:p w14:paraId="3DF1BFCF" w14:textId="77777777" w:rsidR="004C08DC" w:rsidRDefault="004C08DC" w:rsidP="004C08DC">
      <w:pPr>
        <w:jc w:val="left"/>
        <w:rPr>
          <w:rFonts w:ascii="Bliss 2 Light" w:hAnsi="Bliss 2 Light"/>
          <w:sz w:val="24"/>
          <w:szCs w:val="24"/>
        </w:rPr>
      </w:pPr>
    </w:p>
    <w:p w14:paraId="286DFBF5" w14:textId="4EA59548" w:rsidR="004C08DC" w:rsidRDefault="004C08DC" w:rsidP="004C08DC">
      <w:pPr>
        <w:pStyle w:val="ListParagraph"/>
        <w:numPr>
          <w:ilvl w:val="0"/>
          <w:numId w:val="1"/>
        </w:numPr>
        <w:jc w:val="left"/>
        <w:rPr>
          <w:rFonts w:ascii="Bliss 2 Light" w:hAnsi="Bliss 2 Light"/>
          <w:sz w:val="24"/>
          <w:szCs w:val="24"/>
        </w:rPr>
      </w:pPr>
      <w:r>
        <w:rPr>
          <w:rFonts w:ascii="Bliss 2 Light" w:hAnsi="Bliss 2 Light"/>
          <w:sz w:val="24"/>
          <w:szCs w:val="24"/>
        </w:rPr>
        <w:t xml:space="preserve">In order to understand the purpose of the consultation, it is important to note that patients are registered with ‘digital-first’ providers under the Out-of-Area (OOA) Regulations.  These were introduced in 2013 to enable patients who lived in one area, but worked in another, to register with a GP in the area where they worked.  To enable this approach, OOA registered patients are not eligible for Home Visits, and it is possible, under the OOA Regulations, to distinguish patients whose clinical conditions might make it difficult for an OOA </w:t>
      </w:r>
      <w:r w:rsidR="00376BC6">
        <w:rPr>
          <w:rFonts w:ascii="Bliss 2 Light" w:hAnsi="Bliss 2 Light"/>
          <w:sz w:val="24"/>
          <w:szCs w:val="24"/>
        </w:rPr>
        <w:t>registering practice to provide care, especially if the patients care involved significant overlap with local community services</w:t>
      </w:r>
      <w:r w:rsidR="00CA3696">
        <w:rPr>
          <w:rFonts w:ascii="Bliss 2 Light" w:hAnsi="Bliss 2 Light"/>
          <w:sz w:val="24"/>
          <w:szCs w:val="24"/>
        </w:rPr>
        <w:t>, and decline to register them under the OOA registration arrangements</w:t>
      </w:r>
    </w:p>
    <w:p w14:paraId="2C7E78D2" w14:textId="4924D828" w:rsidR="00376BC6" w:rsidRDefault="00376BC6" w:rsidP="00376BC6">
      <w:pPr>
        <w:jc w:val="left"/>
        <w:rPr>
          <w:rFonts w:ascii="Bliss 2 Light" w:hAnsi="Bliss 2 Light"/>
          <w:sz w:val="24"/>
          <w:szCs w:val="24"/>
        </w:rPr>
      </w:pPr>
    </w:p>
    <w:p w14:paraId="258547E8" w14:textId="56D644FD" w:rsidR="00376BC6" w:rsidRDefault="00376BC6" w:rsidP="00376BC6">
      <w:pPr>
        <w:pStyle w:val="ListParagraph"/>
        <w:numPr>
          <w:ilvl w:val="0"/>
          <w:numId w:val="1"/>
        </w:numPr>
        <w:jc w:val="left"/>
        <w:rPr>
          <w:rFonts w:ascii="Bliss 2 Light" w:hAnsi="Bliss 2 Light"/>
          <w:sz w:val="24"/>
          <w:szCs w:val="24"/>
        </w:rPr>
      </w:pPr>
      <w:r>
        <w:rPr>
          <w:rFonts w:ascii="Bliss 2 Light" w:hAnsi="Bliss 2 Light"/>
          <w:sz w:val="24"/>
          <w:szCs w:val="24"/>
        </w:rPr>
        <w:t xml:space="preserve">This is the only aspect of the Regulations which allows a registering practice to decline registration in relation to </w:t>
      </w:r>
      <w:r w:rsidR="0046128A">
        <w:rPr>
          <w:rFonts w:ascii="Bliss 2 Light" w:hAnsi="Bliss 2 Light"/>
          <w:sz w:val="24"/>
          <w:szCs w:val="24"/>
        </w:rPr>
        <w:t>a patient’s</w:t>
      </w:r>
      <w:r>
        <w:rPr>
          <w:rFonts w:ascii="Bliss 2 Light" w:hAnsi="Bliss 2 Light"/>
          <w:sz w:val="24"/>
          <w:szCs w:val="24"/>
        </w:rPr>
        <w:t xml:space="preserve"> medical condition, which is obviously not possible under ‘normal’ registration.</w:t>
      </w:r>
    </w:p>
    <w:p w14:paraId="58F30EF0" w14:textId="77777777" w:rsidR="00376BC6" w:rsidRPr="00376BC6" w:rsidRDefault="00376BC6" w:rsidP="00376BC6">
      <w:pPr>
        <w:pStyle w:val="ListParagraph"/>
        <w:rPr>
          <w:rFonts w:ascii="Bliss 2 Light" w:hAnsi="Bliss 2 Light"/>
          <w:sz w:val="24"/>
          <w:szCs w:val="24"/>
        </w:rPr>
      </w:pPr>
    </w:p>
    <w:p w14:paraId="41BF0A18" w14:textId="097A16D8" w:rsidR="00376BC6" w:rsidRDefault="00376BC6" w:rsidP="00376BC6">
      <w:pPr>
        <w:pStyle w:val="ListParagraph"/>
        <w:numPr>
          <w:ilvl w:val="0"/>
          <w:numId w:val="1"/>
        </w:numPr>
        <w:jc w:val="left"/>
        <w:rPr>
          <w:rFonts w:ascii="Bliss 2 Light" w:hAnsi="Bliss 2 Light"/>
          <w:sz w:val="24"/>
          <w:szCs w:val="24"/>
        </w:rPr>
      </w:pPr>
      <w:r>
        <w:rPr>
          <w:rFonts w:ascii="Bliss 2 Light" w:hAnsi="Bliss 2 Light"/>
          <w:sz w:val="24"/>
          <w:szCs w:val="24"/>
        </w:rPr>
        <w:t xml:space="preserve">By registering patients under the OOA Regulations, digital-first providers are not restricted geographically; in addition, their “offer” appeals to a </w:t>
      </w:r>
      <w:proofErr w:type="gramStart"/>
      <w:r>
        <w:rPr>
          <w:rFonts w:ascii="Bliss 2 Light" w:hAnsi="Bliss 2 Light"/>
          <w:sz w:val="24"/>
          <w:szCs w:val="24"/>
        </w:rPr>
        <w:t>particular demographic</w:t>
      </w:r>
      <w:proofErr w:type="gramEnd"/>
      <w:r>
        <w:rPr>
          <w:rFonts w:ascii="Bliss 2 Light" w:hAnsi="Bliss 2 Light"/>
          <w:sz w:val="24"/>
          <w:szCs w:val="24"/>
        </w:rPr>
        <w:t>, which has led to concerns about ‘cherry-picking’ patients.  Initially, many patients also appeared not to realise that by registering with GP at Hand, for example, they would be deregistered from their previous NHS GP, which led to a high turnover, but the terms of registration do now make this clearer.</w:t>
      </w:r>
    </w:p>
    <w:p w14:paraId="276C1162" w14:textId="780992CF" w:rsidR="00376BC6" w:rsidRDefault="00376BC6" w:rsidP="00376BC6">
      <w:pPr>
        <w:pStyle w:val="ListParagraph"/>
        <w:rPr>
          <w:rFonts w:ascii="Bliss 2 Light" w:hAnsi="Bliss 2 Light"/>
          <w:sz w:val="24"/>
          <w:szCs w:val="24"/>
        </w:rPr>
      </w:pPr>
    </w:p>
    <w:p w14:paraId="225214A6" w14:textId="41EEEB1D" w:rsidR="00CA22C0" w:rsidRDefault="00CA22C0" w:rsidP="00376BC6">
      <w:pPr>
        <w:pStyle w:val="ListParagraph"/>
        <w:rPr>
          <w:rFonts w:ascii="Bliss 2 Light" w:hAnsi="Bliss 2 Light"/>
          <w:sz w:val="24"/>
          <w:szCs w:val="24"/>
        </w:rPr>
      </w:pPr>
    </w:p>
    <w:p w14:paraId="2BCB0ADA" w14:textId="65EC6F4D" w:rsidR="00376BC6" w:rsidRDefault="00376BC6" w:rsidP="00376BC6">
      <w:pPr>
        <w:pStyle w:val="ListParagraph"/>
        <w:numPr>
          <w:ilvl w:val="0"/>
          <w:numId w:val="1"/>
        </w:numPr>
        <w:jc w:val="left"/>
        <w:rPr>
          <w:rFonts w:ascii="Bliss 2 Light" w:hAnsi="Bliss 2 Light"/>
          <w:sz w:val="24"/>
          <w:szCs w:val="24"/>
        </w:rPr>
      </w:pPr>
      <w:r>
        <w:rPr>
          <w:rFonts w:ascii="Bliss 2 Light" w:hAnsi="Bliss 2 Light"/>
          <w:sz w:val="24"/>
          <w:szCs w:val="24"/>
        </w:rPr>
        <w:lastRenderedPageBreak/>
        <w:t>NHS England are now proposing that once a ‘digital-first’ provider has a certain number – proposed at 1000 – of patients registered within a CCG, the provider would be offered a new APMS Contract</w:t>
      </w:r>
      <w:r w:rsidR="00CA3696">
        <w:rPr>
          <w:rFonts w:ascii="Bliss 2 Light" w:hAnsi="Bliss 2 Light"/>
          <w:sz w:val="24"/>
          <w:szCs w:val="24"/>
        </w:rPr>
        <w:t xml:space="preserve"> by that CCG.</w:t>
      </w:r>
      <w:r>
        <w:rPr>
          <w:rFonts w:ascii="Bliss 2 Light" w:hAnsi="Bliss 2 Light"/>
          <w:sz w:val="24"/>
          <w:szCs w:val="24"/>
        </w:rPr>
        <w:t xml:space="preserve">  Such </w:t>
      </w:r>
      <w:r w:rsidR="00CA3696">
        <w:rPr>
          <w:rFonts w:ascii="Bliss 2 Light" w:hAnsi="Bliss 2 Light"/>
          <w:sz w:val="24"/>
          <w:szCs w:val="24"/>
        </w:rPr>
        <w:t xml:space="preserve">local </w:t>
      </w:r>
      <w:r>
        <w:rPr>
          <w:rFonts w:ascii="Bliss 2 Light" w:hAnsi="Bliss 2 Light"/>
          <w:sz w:val="24"/>
          <w:szCs w:val="24"/>
        </w:rPr>
        <w:t xml:space="preserve">patients would be disaggregated from the current </w:t>
      </w:r>
      <w:r w:rsidR="00CA3696">
        <w:rPr>
          <w:rFonts w:ascii="Bliss 2 Light" w:hAnsi="Bliss 2 Light"/>
          <w:sz w:val="24"/>
          <w:szCs w:val="24"/>
        </w:rPr>
        <w:t xml:space="preserve">providers </w:t>
      </w:r>
      <w:r>
        <w:rPr>
          <w:rFonts w:ascii="Bliss 2 Light" w:hAnsi="Bliss 2 Light"/>
          <w:sz w:val="24"/>
          <w:szCs w:val="24"/>
        </w:rPr>
        <w:t>patient list, and the provider obliged to provide a physical location within the CCG, with such patients registered in the normal way [not as OOA registrations].  This would enable better links with local community services.</w:t>
      </w:r>
    </w:p>
    <w:p w14:paraId="22152E21" w14:textId="77777777" w:rsidR="00CA22C0" w:rsidRDefault="00CA22C0" w:rsidP="00376BC6">
      <w:pPr>
        <w:jc w:val="left"/>
        <w:rPr>
          <w:rFonts w:ascii="Bliss 2 Light" w:hAnsi="Bliss 2 Light"/>
          <w:sz w:val="24"/>
          <w:szCs w:val="24"/>
        </w:rPr>
      </w:pPr>
    </w:p>
    <w:p w14:paraId="3DAF738F" w14:textId="256BBA11" w:rsidR="00376BC6" w:rsidRDefault="00376BC6" w:rsidP="00376BC6">
      <w:pPr>
        <w:pStyle w:val="ListParagraph"/>
        <w:numPr>
          <w:ilvl w:val="0"/>
          <w:numId w:val="1"/>
        </w:numPr>
        <w:jc w:val="left"/>
        <w:rPr>
          <w:rFonts w:ascii="Bliss 2 Light" w:hAnsi="Bliss 2 Light"/>
          <w:sz w:val="24"/>
          <w:szCs w:val="24"/>
        </w:rPr>
      </w:pPr>
      <w:r>
        <w:rPr>
          <w:rFonts w:ascii="Bliss 2 Light" w:hAnsi="Bliss 2 Light"/>
          <w:sz w:val="24"/>
          <w:szCs w:val="24"/>
        </w:rPr>
        <w:t>Although discussed, there is to be no change in the current OOA patient capitation fee [which is the same as ‘normal’ registration] as the proposed reduction would be marginal</w:t>
      </w:r>
      <w:r w:rsidR="00CA3696">
        <w:rPr>
          <w:rFonts w:ascii="Bliss 2 Light" w:hAnsi="Bliss 2 Light"/>
          <w:sz w:val="24"/>
          <w:szCs w:val="24"/>
        </w:rPr>
        <w:t>, thus o</w:t>
      </w:r>
      <w:r>
        <w:rPr>
          <w:rFonts w:ascii="Bliss 2 Light" w:hAnsi="Bliss 2 Light"/>
          <w:sz w:val="24"/>
          <w:szCs w:val="24"/>
        </w:rPr>
        <w:t>pening the door to a rather difficult debate for NHS England</w:t>
      </w:r>
      <w:r w:rsidR="00CA3696">
        <w:rPr>
          <w:rFonts w:ascii="Bliss 2 Light" w:hAnsi="Bliss 2 Light"/>
          <w:sz w:val="24"/>
          <w:szCs w:val="24"/>
        </w:rPr>
        <w:t>. There is also to be</w:t>
      </w:r>
      <w:r>
        <w:rPr>
          <w:rFonts w:ascii="Bliss 2 Light" w:hAnsi="Bliss 2 Light"/>
          <w:sz w:val="24"/>
          <w:szCs w:val="24"/>
        </w:rPr>
        <w:t xml:space="preserve"> no change in the current (1.46) weighted Carr-Hill Global Sum premium applied to newly registered patients in their first year of registration.</w:t>
      </w:r>
    </w:p>
    <w:p w14:paraId="6179EE07" w14:textId="77777777" w:rsidR="00376BC6" w:rsidRDefault="00376BC6" w:rsidP="00376BC6">
      <w:pPr>
        <w:pStyle w:val="ListParagraph"/>
        <w:ind w:left="780"/>
        <w:jc w:val="left"/>
        <w:rPr>
          <w:rFonts w:ascii="Bliss 2 Light" w:hAnsi="Bliss 2 Light"/>
          <w:sz w:val="24"/>
          <w:szCs w:val="24"/>
        </w:rPr>
      </w:pPr>
    </w:p>
    <w:p w14:paraId="70450D15" w14:textId="1DAD7350" w:rsidR="00376BC6" w:rsidRDefault="00376BC6" w:rsidP="00376BC6">
      <w:pPr>
        <w:pStyle w:val="ListParagraph"/>
        <w:numPr>
          <w:ilvl w:val="0"/>
          <w:numId w:val="1"/>
        </w:numPr>
        <w:jc w:val="left"/>
        <w:rPr>
          <w:rFonts w:ascii="Bliss 2 Light" w:hAnsi="Bliss 2 Light"/>
          <w:sz w:val="24"/>
          <w:szCs w:val="24"/>
        </w:rPr>
      </w:pPr>
      <w:r>
        <w:rPr>
          <w:rFonts w:ascii="Bliss 2 Light" w:hAnsi="Bliss 2 Light"/>
          <w:sz w:val="24"/>
          <w:szCs w:val="24"/>
        </w:rPr>
        <w:t>NHS England have stated digital-first providers will be encouraged to target new opportunities in ‘under-doctored’ areas, although it is unclear how the proposals above automatically achieve that.</w:t>
      </w:r>
    </w:p>
    <w:p w14:paraId="476F025D" w14:textId="77777777" w:rsidR="00376BC6" w:rsidRPr="00376BC6" w:rsidRDefault="00376BC6" w:rsidP="00376BC6">
      <w:pPr>
        <w:pStyle w:val="ListParagraph"/>
        <w:rPr>
          <w:rFonts w:ascii="Bliss 2 Light" w:hAnsi="Bliss 2 Light"/>
          <w:sz w:val="24"/>
          <w:szCs w:val="24"/>
        </w:rPr>
      </w:pPr>
    </w:p>
    <w:p w14:paraId="222D85B4" w14:textId="68ABD5FE" w:rsidR="00376BC6" w:rsidRDefault="00376BC6" w:rsidP="00376BC6">
      <w:pPr>
        <w:pStyle w:val="ListParagraph"/>
        <w:numPr>
          <w:ilvl w:val="0"/>
          <w:numId w:val="1"/>
        </w:numPr>
        <w:jc w:val="left"/>
        <w:rPr>
          <w:rFonts w:ascii="Bliss 2 Light" w:hAnsi="Bliss 2 Light"/>
          <w:sz w:val="24"/>
          <w:szCs w:val="24"/>
        </w:rPr>
      </w:pPr>
      <w:r>
        <w:rPr>
          <w:rFonts w:ascii="Bliss 2 Light" w:hAnsi="Bliss 2 Light"/>
          <w:sz w:val="24"/>
          <w:szCs w:val="24"/>
        </w:rPr>
        <w:t>NHS England’s recent Board paper on these proposals included the following:</w:t>
      </w:r>
    </w:p>
    <w:p w14:paraId="2C11C171" w14:textId="10F69D5B" w:rsidR="00376BC6" w:rsidRPr="00376BC6" w:rsidRDefault="00376BC6" w:rsidP="00376BC6">
      <w:pPr>
        <w:pStyle w:val="ListParagraph"/>
        <w:ind w:left="780"/>
        <w:jc w:val="left"/>
        <w:rPr>
          <w:rFonts w:ascii="Bliss 2 Light" w:hAnsi="Bliss 2 Light"/>
          <w:sz w:val="24"/>
          <w:szCs w:val="24"/>
        </w:rPr>
      </w:pPr>
    </w:p>
    <w:p w14:paraId="75203547" w14:textId="77CD09E6" w:rsidR="005F088B" w:rsidRPr="00CA3696" w:rsidRDefault="005F088B" w:rsidP="005F088B">
      <w:pPr>
        <w:spacing w:after="4" w:line="242" w:lineRule="auto"/>
        <w:ind w:left="720" w:right="65"/>
        <w:jc w:val="left"/>
        <w:rPr>
          <w:rFonts w:ascii="Bliss 2 Light" w:hAnsi="Bliss 2 Light"/>
          <w:i/>
          <w:iCs/>
          <w:sz w:val="24"/>
          <w:szCs w:val="24"/>
        </w:rPr>
      </w:pPr>
      <w:r w:rsidRPr="00CA3696">
        <w:rPr>
          <w:rFonts w:ascii="Bliss 2 Light" w:hAnsi="Bliss 2 Light"/>
          <w:i/>
          <w:iCs/>
          <w:sz w:val="24"/>
          <w:szCs w:val="24"/>
        </w:rPr>
        <w:t xml:space="preserve">Some providers may choose to support their own services by buying additional clinical capacity from digital suppliers. NHS England and Improvement will consider establishing central accreditation for these services, potentially as part of the new supply framework, to make it easier for all parties to use. Funding of clinical capacity will remain a matter for providers. We expect this framework will be the bigger opportunity for digital-first providers than directly registering patients in competition with existing practices.  </w:t>
      </w:r>
    </w:p>
    <w:p w14:paraId="1001B2A5" w14:textId="2C2F219C" w:rsidR="005F088B" w:rsidRDefault="005F088B" w:rsidP="005F088B">
      <w:pPr>
        <w:spacing w:after="4" w:line="242" w:lineRule="auto"/>
        <w:ind w:left="720" w:right="65"/>
        <w:jc w:val="left"/>
        <w:rPr>
          <w:rFonts w:ascii="Bliss 2 Light" w:hAnsi="Bliss 2 Light"/>
          <w:sz w:val="24"/>
          <w:szCs w:val="24"/>
        </w:rPr>
      </w:pPr>
    </w:p>
    <w:p w14:paraId="272923F5" w14:textId="7A274066" w:rsidR="005F088B" w:rsidRDefault="005F088B" w:rsidP="005F088B">
      <w:pPr>
        <w:spacing w:after="4" w:line="242" w:lineRule="auto"/>
        <w:ind w:right="65"/>
        <w:jc w:val="left"/>
        <w:rPr>
          <w:rFonts w:ascii="Bliss 2 Light" w:hAnsi="Bliss 2 Light"/>
          <w:sz w:val="24"/>
          <w:szCs w:val="24"/>
        </w:rPr>
      </w:pPr>
      <w:r>
        <w:rPr>
          <w:rFonts w:ascii="Bliss 2 Light" w:hAnsi="Bliss 2 Light"/>
          <w:sz w:val="24"/>
          <w:szCs w:val="24"/>
        </w:rPr>
        <w:t xml:space="preserve">Thus there is a plan, which may not be realised, that by encouraging all practices to improve their ‘digital offer’, current, or to be accredited, providers of core </w:t>
      </w:r>
      <w:r w:rsidR="00CA3696">
        <w:rPr>
          <w:rFonts w:ascii="Bliss 2 Light" w:hAnsi="Bliss 2 Light"/>
          <w:sz w:val="24"/>
          <w:szCs w:val="24"/>
        </w:rPr>
        <w:t xml:space="preserve">digital </w:t>
      </w:r>
      <w:r>
        <w:rPr>
          <w:rFonts w:ascii="Bliss 2 Light" w:hAnsi="Bliss 2 Light"/>
          <w:sz w:val="24"/>
          <w:szCs w:val="24"/>
        </w:rPr>
        <w:t>services, such as on-line and video consultation systems, triage mechanisms and symptom checkers for patients, will preferentially create a business model of supplying these to existing practices, or to PCNs, rather than a model in which they create new practices along the lines of the arrangements discussed above.</w:t>
      </w:r>
    </w:p>
    <w:p w14:paraId="75A4BC0C" w14:textId="4BCF00A9" w:rsidR="005F088B" w:rsidRDefault="005F088B" w:rsidP="005F088B">
      <w:pPr>
        <w:spacing w:after="4" w:line="242" w:lineRule="auto"/>
        <w:ind w:left="720" w:right="65"/>
        <w:jc w:val="left"/>
        <w:rPr>
          <w:rFonts w:ascii="Bliss 2 Light" w:hAnsi="Bliss 2 Light"/>
          <w:sz w:val="24"/>
          <w:szCs w:val="24"/>
        </w:rPr>
      </w:pPr>
    </w:p>
    <w:p w14:paraId="5F59273D" w14:textId="11C96FE2" w:rsidR="005F088B" w:rsidRDefault="005F088B" w:rsidP="005F088B">
      <w:pPr>
        <w:spacing w:after="4" w:line="242" w:lineRule="auto"/>
        <w:ind w:right="65"/>
        <w:jc w:val="left"/>
        <w:rPr>
          <w:rFonts w:ascii="Bliss 2 Light" w:hAnsi="Bliss 2 Light"/>
          <w:sz w:val="24"/>
          <w:szCs w:val="24"/>
        </w:rPr>
      </w:pPr>
      <w:r>
        <w:rPr>
          <w:rFonts w:ascii="Bliss 2 Light" w:hAnsi="Bliss 2 Light"/>
          <w:sz w:val="24"/>
          <w:szCs w:val="24"/>
        </w:rPr>
        <w:t xml:space="preserve">There are clearly numerous questions arising from these proposals; any new APMS practice contract delivering patient services equivalent to existing GMS/PMS contractor holders should not be funded differentially, any new practice would need to identify a practice </w:t>
      </w:r>
      <w:r w:rsidR="0046128A">
        <w:rPr>
          <w:rFonts w:ascii="Bliss 2 Light" w:hAnsi="Bliss 2 Light"/>
          <w:sz w:val="24"/>
          <w:szCs w:val="24"/>
        </w:rPr>
        <w:t xml:space="preserve">boundary </w:t>
      </w:r>
      <w:proofErr w:type="gramStart"/>
      <w:r w:rsidR="0046128A">
        <w:rPr>
          <w:rFonts w:ascii="Bliss 2 Light" w:hAnsi="Bliss 2 Light"/>
          <w:sz w:val="24"/>
          <w:szCs w:val="24"/>
        </w:rPr>
        <w:t>and</w:t>
      </w:r>
      <w:r>
        <w:rPr>
          <w:rFonts w:ascii="Bliss 2 Light" w:hAnsi="Bliss 2 Light"/>
          <w:sz w:val="24"/>
          <w:szCs w:val="24"/>
        </w:rPr>
        <w:t xml:space="preserve"> </w:t>
      </w:r>
      <w:r w:rsidR="00CA3696">
        <w:rPr>
          <w:rFonts w:ascii="Bliss 2 Light" w:hAnsi="Bliss 2 Light"/>
          <w:sz w:val="24"/>
          <w:szCs w:val="24"/>
        </w:rPr>
        <w:t>also</w:t>
      </w:r>
      <w:proofErr w:type="gramEnd"/>
      <w:r w:rsidR="00CA3696">
        <w:rPr>
          <w:rFonts w:ascii="Bliss 2 Light" w:hAnsi="Bliss 2 Light"/>
          <w:sz w:val="24"/>
          <w:szCs w:val="24"/>
        </w:rPr>
        <w:t xml:space="preserve">, for example, </w:t>
      </w:r>
      <w:r>
        <w:rPr>
          <w:rFonts w:ascii="Bliss 2 Light" w:hAnsi="Bliss 2 Light"/>
          <w:sz w:val="24"/>
          <w:szCs w:val="24"/>
        </w:rPr>
        <w:t>be a member of a PCN.</w:t>
      </w:r>
    </w:p>
    <w:p w14:paraId="2FA20A84" w14:textId="767A30E8" w:rsidR="005F088B" w:rsidRDefault="005F088B" w:rsidP="005F088B">
      <w:pPr>
        <w:spacing w:after="4" w:line="242" w:lineRule="auto"/>
        <w:ind w:left="720" w:right="65"/>
        <w:jc w:val="left"/>
        <w:rPr>
          <w:rFonts w:ascii="Bliss 2 Light" w:hAnsi="Bliss 2 Light"/>
          <w:sz w:val="24"/>
          <w:szCs w:val="24"/>
        </w:rPr>
      </w:pPr>
    </w:p>
    <w:p w14:paraId="48B33502" w14:textId="79DC6E12" w:rsidR="005F088B" w:rsidRDefault="005F088B" w:rsidP="005F088B">
      <w:pPr>
        <w:spacing w:after="4" w:line="242" w:lineRule="auto"/>
        <w:ind w:right="65"/>
        <w:jc w:val="left"/>
        <w:rPr>
          <w:rFonts w:ascii="Bliss 2 Light" w:hAnsi="Bliss 2 Light"/>
          <w:sz w:val="24"/>
          <w:szCs w:val="24"/>
        </w:rPr>
      </w:pPr>
      <w:r>
        <w:rPr>
          <w:rFonts w:ascii="Bliss 2 Light" w:hAnsi="Bliss 2 Light"/>
          <w:sz w:val="24"/>
          <w:szCs w:val="24"/>
        </w:rPr>
        <w:t xml:space="preserve">NHS England have also developed a series of documents to support on-line consultations in primary care; these are available at </w:t>
      </w:r>
    </w:p>
    <w:p w14:paraId="065B9AC8" w14:textId="3F3E9209" w:rsidR="005F088B" w:rsidRDefault="00D21FB0" w:rsidP="005F088B">
      <w:pPr>
        <w:jc w:val="center"/>
      </w:pPr>
      <w:hyperlink r:id="rId6" w:history="1">
        <w:r w:rsidR="005F088B" w:rsidRPr="00FC0573">
          <w:rPr>
            <w:rStyle w:val="Hyperlink"/>
          </w:rPr>
          <w:t>https://www.england.nhs.uk/publication</w:t>
        </w:r>
        <w:r w:rsidR="005F088B" w:rsidRPr="00FC0573">
          <w:rPr>
            <w:rStyle w:val="Hyperlink"/>
          </w:rPr>
          <w:t>/</w:t>
        </w:r>
        <w:r w:rsidR="005F088B" w:rsidRPr="00FC0573">
          <w:rPr>
            <w:rStyle w:val="Hyperlink"/>
          </w:rPr>
          <w:t>using-online-consultations-in-primary-care-implementation-toolkit/</w:t>
        </w:r>
      </w:hyperlink>
    </w:p>
    <w:p w14:paraId="1877A765" w14:textId="77777777" w:rsidR="005F088B" w:rsidRPr="005F088B" w:rsidRDefault="005F088B" w:rsidP="005F088B">
      <w:pPr>
        <w:spacing w:after="4" w:line="242" w:lineRule="auto"/>
        <w:ind w:left="720" w:right="65"/>
        <w:jc w:val="left"/>
        <w:rPr>
          <w:rFonts w:ascii="Bliss 2 Light" w:hAnsi="Bliss 2 Light"/>
          <w:sz w:val="24"/>
          <w:szCs w:val="24"/>
        </w:rPr>
      </w:pPr>
    </w:p>
    <w:p w14:paraId="0D944E55" w14:textId="2BD91A53" w:rsidR="004C08DC" w:rsidRDefault="005F088B" w:rsidP="005F088B">
      <w:pPr>
        <w:jc w:val="left"/>
        <w:rPr>
          <w:rFonts w:ascii="Bliss 2 Light" w:hAnsi="Bliss 2 Light"/>
          <w:sz w:val="24"/>
          <w:szCs w:val="24"/>
        </w:rPr>
      </w:pPr>
      <w:r>
        <w:rPr>
          <w:rFonts w:ascii="Bliss 2 Light" w:hAnsi="Bliss 2 Light"/>
          <w:sz w:val="24"/>
          <w:szCs w:val="24"/>
        </w:rPr>
        <w:t xml:space="preserve">The primary document is 193 pages long, although half is directed at CCGs, not GP practices, and it includes a range of ideas and options that practices may want to consider, rather than being required to do.  Some of these may eventually be relevant to PCNs, </w:t>
      </w:r>
      <w:r w:rsidR="00CA3696">
        <w:rPr>
          <w:rFonts w:ascii="Bliss 2 Light" w:hAnsi="Bliss 2 Light"/>
          <w:sz w:val="24"/>
          <w:szCs w:val="24"/>
        </w:rPr>
        <w:t xml:space="preserve">as they </w:t>
      </w:r>
      <w:r>
        <w:rPr>
          <w:rFonts w:ascii="Bliss 2 Light" w:hAnsi="Bliss 2 Light"/>
          <w:sz w:val="24"/>
          <w:szCs w:val="24"/>
        </w:rPr>
        <w:t>undertak</w:t>
      </w:r>
      <w:r w:rsidR="00CA3696">
        <w:rPr>
          <w:rFonts w:ascii="Bliss 2 Light" w:hAnsi="Bliss 2 Light"/>
          <w:sz w:val="24"/>
          <w:szCs w:val="24"/>
        </w:rPr>
        <w:t>e</w:t>
      </w:r>
      <w:r>
        <w:rPr>
          <w:rFonts w:ascii="Bliss 2 Light" w:hAnsi="Bliss 2 Light"/>
          <w:sz w:val="24"/>
          <w:szCs w:val="24"/>
        </w:rPr>
        <w:t xml:space="preserve"> what is described by NHS England as an “implementation journey”.</w:t>
      </w:r>
    </w:p>
    <w:p w14:paraId="4D0A7503" w14:textId="2537E562" w:rsidR="005F088B" w:rsidRDefault="005F088B" w:rsidP="005F088B">
      <w:pPr>
        <w:jc w:val="left"/>
        <w:rPr>
          <w:rFonts w:ascii="Bliss 2 Light" w:hAnsi="Bliss 2 Light"/>
          <w:sz w:val="24"/>
          <w:szCs w:val="24"/>
        </w:rPr>
      </w:pPr>
    </w:p>
    <w:p w14:paraId="6C67ACA7" w14:textId="19347D34" w:rsidR="005F088B" w:rsidRDefault="005F088B" w:rsidP="005F088B">
      <w:pPr>
        <w:jc w:val="left"/>
        <w:rPr>
          <w:rFonts w:ascii="Bliss 2 Light" w:hAnsi="Bliss 2 Light"/>
          <w:sz w:val="24"/>
          <w:szCs w:val="24"/>
        </w:rPr>
      </w:pPr>
      <w:r>
        <w:rPr>
          <w:rFonts w:ascii="Bliss 2 Light" w:hAnsi="Bliss 2 Light"/>
          <w:sz w:val="24"/>
          <w:szCs w:val="24"/>
        </w:rPr>
        <w:t>I hope this background information will be helpful for colleagues, especially as there has been significant comment about the digital</w:t>
      </w:r>
      <w:r w:rsidR="00CA22C0">
        <w:rPr>
          <w:rFonts w:ascii="Bliss 2 Light" w:hAnsi="Bliss 2 Light"/>
          <w:sz w:val="24"/>
          <w:szCs w:val="24"/>
        </w:rPr>
        <w:t xml:space="preserve">-first consultation outcome; the final </w:t>
      </w:r>
      <w:r w:rsidR="00CA3696">
        <w:rPr>
          <w:rFonts w:ascii="Bliss 2 Light" w:hAnsi="Bliss 2 Light"/>
          <w:sz w:val="24"/>
          <w:szCs w:val="24"/>
        </w:rPr>
        <w:t xml:space="preserve">picture </w:t>
      </w:r>
      <w:bookmarkStart w:id="0" w:name="_GoBack"/>
      <w:bookmarkEnd w:id="0"/>
      <w:r w:rsidR="00CA22C0">
        <w:rPr>
          <w:rFonts w:ascii="Bliss 2 Light" w:hAnsi="Bliss 2 Light"/>
          <w:sz w:val="24"/>
          <w:szCs w:val="24"/>
        </w:rPr>
        <w:t xml:space="preserve">will probably be a mixture of these proposals </w:t>
      </w:r>
      <w:r w:rsidR="0046128A">
        <w:rPr>
          <w:rFonts w:ascii="Bliss 2 Light" w:hAnsi="Bliss 2 Light"/>
          <w:sz w:val="24"/>
          <w:szCs w:val="24"/>
        </w:rPr>
        <w:t>and,</w:t>
      </w:r>
      <w:r w:rsidR="00CA22C0">
        <w:rPr>
          <w:rFonts w:ascii="Bliss 2 Light" w:hAnsi="Bliss 2 Light"/>
          <w:sz w:val="24"/>
          <w:szCs w:val="24"/>
        </w:rPr>
        <w:t xml:space="preserve"> to use</w:t>
      </w:r>
      <w:r w:rsidR="00CA3696">
        <w:rPr>
          <w:rFonts w:ascii="Bliss 2 Light" w:hAnsi="Bliss 2 Light"/>
          <w:sz w:val="24"/>
          <w:szCs w:val="24"/>
        </w:rPr>
        <w:t xml:space="preserve"> Donald Rumsfeld’s</w:t>
      </w:r>
      <w:r w:rsidR="00CA22C0">
        <w:rPr>
          <w:rFonts w:ascii="Bliss 2 Light" w:hAnsi="Bliss 2 Light"/>
          <w:sz w:val="24"/>
          <w:szCs w:val="24"/>
        </w:rPr>
        <w:t xml:space="preserve"> </w:t>
      </w:r>
      <w:r w:rsidR="00CA3696">
        <w:rPr>
          <w:rFonts w:ascii="Bliss 2 Light" w:hAnsi="Bliss 2 Light"/>
          <w:sz w:val="24"/>
          <w:szCs w:val="24"/>
        </w:rPr>
        <w:t xml:space="preserve">famous </w:t>
      </w:r>
      <w:r w:rsidR="00CA22C0">
        <w:rPr>
          <w:rFonts w:ascii="Bliss 2 Light" w:hAnsi="Bliss 2 Light"/>
          <w:sz w:val="24"/>
          <w:szCs w:val="24"/>
        </w:rPr>
        <w:t>phrase</w:t>
      </w:r>
      <w:r w:rsidR="00CA3696">
        <w:rPr>
          <w:rFonts w:ascii="Bliss 2 Light" w:hAnsi="Bliss 2 Light"/>
          <w:sz w:val="24"/>
          <w:szCs w:val="24"/>
        </w:rPr>
        <w:t>, t</w:t>
      </w:r>
      <w:r w:rsidR="00CA22C0">
        <w:rPr>
          <w:rFonts w:ascii="Bliss 2 Light" w:hAnsi="Bliss 2 Light"/>
          <w:sz w:val="24"/>
          <w:szCs w:val="24"/>
        </w:rPr>
        <w:t xml:space="preserve">he impact of ‘unknown </w:t>
      </w:r>
      <w:proofErr w:type="gramStart"/>
      <w:r w:rsidR="00CA22C0">
        <w:rPr>
          <w:rFonts w:ascii="Bliss 2 Light" w:hAnsi="Bliss 2 Light"/>
          <w:sz w:val="24"/>
          <w:szCs w:val="24"/>
        </w:rPr>
        <w:t>unknowns’</w:t>
      </w:r>
      <w:proofErr w:type="gramEnd"/>
      <w:r w:rsidR="00CA22C0">
        <w:rPr>
          <w:rFonts w:ascii="Bliss 2 Light" w:hAnsi="Bliss 2 Light"/>
          <w:sz w:val="24"/>
          <w:szCs w:val="24"/>
        </w:rPr>
        <w:t>.</w:t>
      </w:r>
    </w:p>
    <w:p w14:paraId="772D7319" w14:textId="25A571CB" w:rsidR="00CA22C0" w:rsidRDefault="00CA22C0" w:rsidP="005F088B">
      <w:pPr>
        <w:jc w:val="left"/>
        <w:rPr>
          <w:rFonts w:ascii="Bliss 2 Light" w:hAnsi="Bliss 2 Light"/>
          <w:sz w:val="24"/>
          <w:szCs w:val="24"/>
        </w:rPr>
      </w:pPr>
    </w:p>
    <w:p w14:paraId="570B4399" w14:textId="35195748" w:rsidR="00CA22C0" w:rsidRDefault="00CA22C0" w:rsidP="005F088B">
      <w:pPr>
        <w:jc w:val="left"/>
        <w:rPr>
          <w:rFonts w:ascii="Bliss 2 Light" w:hAnsi="Bliss 2 Light"/>
          <w:sz w:val="24"/>
          <w:szCs w:val="24"/>
        </w:rPr>
      </w:pPr>
      <w:r>
        <w:rPr>
          <w:rFonts w:ascii="Bliss 2 Light" w:hAnsi="Bliss 2 Light"/>
          <w:sz w:val="24"/>
          <w:szCs w:val="24"/>
        </w:rPr>
        <w:t>With best wishes</w:t>
      </w:r>
    </w:p>
    <w:p w14:paraId="217123E7" w14:textId="0C7B27A4" w:rsidR="00CA22C0" w:rsidRDefault="00CA22C0" w:rsidP="005F088B">
      <w:pPr>
        <w:jc w:val="left"/>
        <w:rPr>
          <w:rFonts w:ascii="Bliss 2 Light" w:hAnsi="Bliss 2 Light"/>
          <w:sz w:val="24"/>
          <w:szCs w:val="24"/>
        </w:rPr>
      </w:pPr>
    </w:p>
    <w:p w14:paraId="6BAC866F" w14:textId="54AE3195" w:rsidR="00CA22C0" w:rsidRDefault="00CA22C0" w:rsidP="005F088B">
      <w:pPr>
        <w:jc w:val="left"/>
        <w:rPr>
          <w:rFonts w:ascii="Bliss 2 Light" w:hAnsi="Bliss 2 Light"/>
          <w:sz w:val="24"/>
          <w:szCs w:val="24"/>
        </w:rPr>
      </w:pPr>
    </w:p>
    <w:p w14:paraId="39B0F247" w14:textId="544B5CC4" w:rsidR="00CA22C0" w:rsidRDefault="00CA22C0" w:rsidP="005F088B">
      <w:pPr>
        <w:jc w:val="left"/>
        <w:rPr>
          <w:rFonts w:ascii="Bliss 2 Light" w:hAnsi="Bliss 2 Light"/>
          <w:sz w:val="24"/>
          <w:szCs w:val="24"/>
        </w:rPr>
      </w:pPr>
    </w:p>
    <w:p w14:paraId="6A32B646" w14:textId="6DA592E9" w:rsidR="00CA22C0" w:rsidRDefault="0034178E" w:rsidP="005F088B">
      <w:pPr>
        <w:jc w:val="left"/>
        <w:rPr>
          <w:rFonts w:ascii="Bliss 2 Light" w:hAnsi="Bliss 2 Light"/>
          <w:sz w:val="24"/>
          <w:szCs w:val="24"/>
        </w:rPr>
      </w:pPr>
      <w:r>
        <w:rPr>
          <w:noProof/>
          <w:lang w:eastAsia="en-GB"/>
        </w:rPr>
        <w:drawing>
          <wp:inline distT="0" distB="0" distL="0" distR="0" wp14:anchorId="0401DB13" wp14:editId="563E2711">
            <wp:extent cx="20478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08E9645E" w14:textId="7CBC1B73" w:rsidR="00CA22C0" w:rsidRDefault="00CA22C0" w:rsidP="005F088B">
      <w:pPr>
        <w:jc w:val="left"/>
        <w:rPr>
          <w:rFonts w:ascii="Bliss 2 Light" w:hAnsi="Bliss 2 Light"/>
          <w:sz w:val="24"/>
          <w:szCs w:val="24"/>
        </w:rPr>
      </w:pPr>
    </w:p>
    <w:p w14:paraId="5775F88C" w14:textId="63CCF0BE" w:rsidR="00CA22C0" w:rsidRDefault="00CA22C0" w:rsidP="005F088B">
      <w:pPr>
        <w:jc w:val="left"/>
        <w:rPr>
          <w:rFonts w:ascii="Bliss 2 Light" w:hAnsi="Bliss 2 Light"/>
          <w:sz w:val="24"/>
          <w:szCs w:val="24"/>
        </w:rPr>
      </w:pPr>
    </w:p>
    <w:p w14:paraId="483C99B7" w14:textId="57E1E283" w:rsidR="00CA22C0" w:rsidRDefault="00CA22C0" w:rsidP="005F088B">
      <w:pPr>
        <w:jc w:val="left"/>
        <w:rPr>
          <w:rFonts w:ascii="Bliss 2 Light" w:hAnsi="Bliss 2 Light"/>
          <w:sz w:val="24"/>
          <w:szCs w:val="24"/>
        </w:rPr>
      </w:pPr>
    </w:p>
    <w:p w14:paraId="0FBB9E0D" w14:textId="2BAAFFC3" w:rsidR="00CA22C0" w:rsidRDefault="00CA22C0" w:rsidP="005F088B">
      <w:pPr>
        <w:jc w:val="left"/>
        <w:rPr>
          <w:rFonts w:ascii="Bliss 2 Light" w:hAnsi="Bliss 2 Light"/>
          <w:sz w:val="24"/>
          <w:szCs w:val="24"/>
        </w:rPr>
      </w:pPr>
    </w:p>
    <w:p w14:paraId="5A22A7AA" w14:textId="7E871E10" w:rsidR="00CA22C0" w:rsidRDefault="00CA22C0" w:rsidP="005F088B">
      <w:pPr>
        <w:jc w:val="left"/>
        <w:rPr>
          <w:rFonts w:ascii="Bliss 2 Light" w:hAnsi="Bliss 2 Light"/>
          <w:sz w:val="24"/>
          <w:szCs w:val="24"/>
        </w:rPr>
      </w:pPr>
    </w:p>
    <w:p w14:paraId="20994EF0" w14:textId="2394D3AE" w:rsidR="00CA22C0" w:rsidRDefault="00CA22C0" w:rsidP="005F088B">
      <w:pPr>
        <w:jc w:val="left"/>
        <w:rPr>
          <w:rFonts w:ascii="Bliss 2 Light" w:hAnsi="Bliss 2 Light"/>
          <w:sz w:val="24"/>
          <w:szCs w:val="24"/>
        </w:rPr>
      </w:pPr>
      <w:r>
        <w:rPr>
          <w:rFonts w:ascii="Bliss 2 Light" w:hAnsi="Bliss 2 Light"/>
          <w:sz w:val="24"/>
          <w:szCs w:val="24"/>
        </w:rPr>
        <w:t>Dr Julius Parker</w:t>
      </w:r>
    </w:p>
    <w:p w14:paraId="1F89763B" w14:textId="7F789B81" w:rsidR="00CA22C0" w:rsidRPr="00CA22C0" w:rsidRDefault="00CA22C0" w:rsidP="005F088B">
      <w:pPr>
        <w:jc w:val="left"/>
        <w:rPr>
          <w:rFonts w:ascii="Bliss 2 Light" w:hAnsi="Bliss 2 Light"/>
          <w:b/>
          <w:bCs/>
          <w:sz w:val="24"/>
          <w:szCs w:val="24"/>
        </w:rPr>
      </w:pPr>
      <w:r>
        <w:rPr>
          <w:rFonts w:ascii="Bliss 2 Light" w:hAnsi="Bliss 2 Light"/>
          <w:b/>
          <w:bCs/>
          <w:sz w:val="24"/>
          <w:szCs w:val="24"/>
        </w:rPr>
        <w:t xml:space="preserve">Chief </w:t>
      </w:r>
      <w:r w:rsidR="0046128A">
        <w:rPr>
          <w:rFonts w:ascii="Bliss 2 Light" w:hAnsi="Bliss 2 Light"/>
          <w:b/>
          <w:bCs/>
          <w:sz w:val="24"/>
          <w:szCs w:val="24"/>
        </w:rPr>
        <w:t>Executive</w:t>
      </w:r>
    </w:p>
    <w:p w14:paraId="1612FF4C" w14:textId="77777777" w:rsidR="004C08DC" w:rsidRDefault="004C08DC" w:rsidP="004C08DC"/>
    <w:sectPr w:rsidR="004C08DC" w:rsidSect="0034178E">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A1B4C"/>
    <w:multiLevelType w:val="hybridMultilevel"/>
    <w:tmpl w:val="1DE0A3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70B654D"/>
    <w:multiLevelType w:val="hybridMultilevel"/>
    <w:tmpl w:val="0C36DC70"/>
    <w:lvl w:ilvl="0" w:tplc="59AEDE1C">
      <w:start w:val="1"/>
      <w:numFmt w:val="decimal"/>
      <w:lvlText w:val="%1."/>
      <w:lvlJc w:val="left"/>
      <w:pPr>
        <w:ind w:left="360" w:firstLine="0"/>
      </w:pPr>
      <w:rPr>
        <w:rFonts w:ascii="Arial" w:eastAsia="Arial" w:hAnsi="Arial" w:cs="Arial"/>
        <w:b w:val="0"/>
        <w:i w:val="0"/>
        <w:strike w:val="0"/>
        <w:dstrike w:val="0"/>
        <w:color w:val="0B0C0C"/>
        <w:sz w:val="24"/>
        <w:szCs w:val="24"/>
        <w:u w:val="none" w:color="000000"/>
        <w:effect w:val="none"/>
        <w:bdr w:val="none" w:sz="0" w:space="0" w:color="auto" w:frame="1"/>
        <w:vertAlign w:val="baseline"/>
      </w:rPr>
    </w:lvl>
    <w:lvl w:ilvl="1" w:tplc="79B481F4">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4D8244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52CFDD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79A957E">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98ABF0">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5AED6A8">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E7EF4C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B2F128">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C"/>
    <w:rsid w:val="0034178E"/>
    <w:rsid w:val="00376BC6"/>
    <w:rsid w:val="0046128A"/>
    <w:rsid w:val="004C08DC"/>
    <w:rsid w:val="005F088B"/>
    <w:rsid w:val="00B13B41"/>
    <w:rsid w:val="00CA22C0"/>
    <w:rsid w:val="00CA3696"/>
    <w:rsid w:val="00D2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92B4"/>
  <w15:chartTrackingRefBased/>
  <w15:docId w15:val="{B7099875-A43B-4E30-A890-390CEF7D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8DC"/>
    <w:pPr>
      <w:ind w:left="720"/>
      <w:contextualSpacing/>
    </w:pPr>
  </w:style>
  <w:style w:type="character" w:styleId="Hyperlink">
    <w:name w:val="Hyperlink"/>
    <w:basedOn w:val="DefaultParagraphFont"/>
    <w:uiPriority w:val="99"/>
    <w:unhideWhenUsed/>
    <w:rsid w:val="005F088B"/>
    <w:rPr>
      <w:color w:val="0563C1"/>
      <w:u w:val="single"/>
    </w:rPr>
  </w:style>
  <w:style w:type="character" w:styleId="FollowedHyperlink">
    <w:name w:val="FollowedHyperlink"/>
    <w:basedOn w:val="DefaultParagraphFont"/>
    <w:uiPriority w:val="99"/>
    <w:semiHidden/>
    <w:unhideWhenUsed/>
    <w:rsid w:val="005F088B"/>
    <w:rPr>
      <w:color w:val="954F72" w:themeColor="followedHyperlink"/>
      <w:u w:val="single"/>
    </w:rPr>
  </w:style>
  <w:style w:type="character" w:styleId="UnresolvedMention">
    <w:name w:val="Unresolved Mention"/>
    <w:basedOn w:val="DefaultParagraphFont"/>
    <w:uiPriority w:val="99"/>
    <w:semiHidden/>
    <w:unhideWhenUsed/>
    <w:rsid w:val="005F088B"/>
    <w:rPr>
      <w:color w:val="605E5C"/>
      <w:shd w:val="clear" w:color="auto" w:fill="E1DFDD"/>
    </w:rPr>
  </w:style>
  <w:style w:type="table" w:styleId="TableGrid">
    <w:name w:val="Table Grid"/>
    <w:basedOn w:val="TableNormal"/>
    <w:uiPriority w:val="39"/>
    <w:rsid w:val="0034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9773">
      <w:bodyDiv w:val="1"/>
      <w:marLeft w:val="0"/>
      <w:marRight w:val="0"/>
      <w:marTop w:val="0"/>
      <w:marBottom w:val="0"/>
      <w:divBdr>
        <w:top w:val="none" w:sz="0" w:space="0" w:color="auto"/>
        <w:left w:val="none" w:sz="0" w:space="0" w:color="auto"/>
        <w:bottom w:val="none" w:sz="0" w:space="0" w:color="auto"/>
        <w:right w:val="none" w:sz="0" w:space="0" w:color="auto"/>
      </w:divBdr>
    </w:div>
    <w:div w:id="15941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using-online-consultations-in-primary-care-implementation-toolk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2019-10-14T12:37:00Z</cp:lastPrinted>
  <dcterms:created xsi:type="dcterms:W3CDTF">2019-10-14T12:46:00Z</dcterms:created>
  <dcterms:modified xsi:type="dcterms:W3CDTF">2019-10-14T12:46:00Z</dcterms:modified>
</cp:coreProperties>
</file>