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00FD9" w14:textId="2085E81C" w:rsidR="00D919CF" w:rsidRDefault="00D919CF" w:rsidP="00D919CF">
      <w:pPr>
        <w:rPr>
          <w:sz w:val="24"/>
          <w:szCs w:val="24"/>
          <w:lang w:eastAsia="zh-CN"/>
        </w:rPr>
      </w:pPr>
      <w:bookmarkStart w:id="0" w:name="_GoBack"/>
      <w:bookmarkEnd w:id="0"/>
    </w:p>
    <w:p w14:paraId="4C263E6E" w14:textId="37E4B0F1" w:rsidR="007A3400" w:rsidRDefault="007A3400" w:rsidP="00D919CF">
      <w:pPr>
        <w:rPr>
          <w:sz w:val="24"/>
          <w:szCs w:val="24"/>
          <w:lang w:eastAsia="zh-CN"/>
        </w:rPr>
      </w:pPr>
      <w:r>
        <w:rPr>
          <w:sz w:val="24"/>
          <w:szCs w:val="24"/>
          <w:lang w:eastAsia="zh-CN"/>
        </w:rPr>
        <w:t xml:space="preserve">                                                                                                     </w:t>
      </w:r>
      <w:r>
        <w:rPr>
          <w:noProof/>
        </w:rPr>
        <w:drawing>
          <wp:inline distT="0" distB="0" distL="0" distR="0" wp14:anchorId="5B64D39B" wp14:editId="4616DB24">
            <wp:extent cx="2136129" cy="699782"/>
            <wp:effectExtent l="0" t="0" r="0" b="0"/>
            <wp:docPr id="3641" name="Picture 3641"/>
            <wp:cNvGraphicFramePr/>
            <a:graphic xmlns:a="http://schemas.openxmlformats.org/drawingml/2006/main">
              <a:graphicData uri="http://schemas.openxmlformats.org/drawingml/2006/picture">
                <pic:pic xmlns:pic="http://schemas.openxmlformats.org/drawingml/2006/picture">
                  <pic:nvPicPr>
                    <pic:cNvPr id="3641" name="Picture 3641"/>
                    <pic:cNvPicPr/>
                  </pic:nvPicPr>
                  <pic:blipFill>
                    <a:blip r:embed="rId5"/>
                    <a:stretch>
                      <a:fillRect/>
                    </a:stretch>
                  </pic:blipFill>
                  <pic:spPr>
                    <a:xfrm>
                      <a:off x="0" y="0"/>
                      <a:ext cx="2136129" cy="699782"/>
                    </a:xfrm>
                    <a:prstGeom prst="rect">
                      <a:avLst/>
                    </a:prstGeom>
                  </pic:spPr>
                </pic:pic>
              </a:graphicData>
            </a:graphic>
          </wp:inline>
        </w:drawing>
      </w:r>
      <w:r>
        <w:rPr>
          <w:sz w:val="24"/>
          <w:szCs w:val="24"/>
          <w:lang w:eastAsia="zh-CN"/>
        </w:rPr>
        <w:t xml:space="preserve"> </w:t>
      </w:r>
    </w:p>
    <w:p w14:paraId="4E6880B3" w14:textId="115F9C8A" w:rsidR="00D919CF" w:rsidRDefault="00D919CF" w:rsidP="00D919CF">
      <w:pPr>
        <w:rPr>
          <w:sz w:val="24"/>
          <w:szCs w:val="24"/>
          <w:lang w:eastAsia="zh-CN"/>
        </w:rPr>
      </w:pPr>
    </w:p>
    <w:p w14:paraId="144CF528" w14:textId="77777777" w:rsidR="005343EC" w:rsidRPr="0020476F" w:rsidRDefault="005343EC" w:rsidP="005343EC">
      <w:pPr>
        <w:jc w:val="both"/>
        <w:rPr>
          <w:rFonts w:asciiTheme="minorHAnsi" w:hAnsiTheme="minorHAnsi" w:cs="Arial"/>
          <w:sz w:val="24"/>
          <w:szCs w:val="24"/>
          <w:lang w:val="en-US"/>
        </w:rPr>
      </w:pPr>
      <w:r w:rsidRPr="0020476F">
        <w:rPr>
          <w:rFonts w:asciiTheme="minorHAnsi" w:hAnsiTheme="minorHAnsi" w:cs="Arial"/>
          <w:sz w:val="24"/>
          <w:szCs w:val="24"/>
          <w:lang w:val="en-US"/>
        </w:rPr>
        <w:t>18 April 2018</w:t>
      </w:r>
    </w:p>
    <w:p w14:paraId="6765AECF" w14:textId="77777777" w:rsidR="005343EC" w:rsidRDefault="005343EC" w:rsidP="005343EC">
      <w:pPr>
        <w:jc w:val="both"/>
        <w:rPr>
          <w:rFonts w:ascii="Arial" w:hAnsi="Arial" w:cs="Arial"/>
          <w:b/>
          <w:sz w:val="20"/>
          <w:szCs w:val="20"/>
          <w:lang w:val="en-US"/>
        </w:rPr>
      </w:pPr>
    </w:p>
    <w:p w14:paraId="42F02CA4" w14:textId="77777777" w:rsidR="005343EC" w:rsidRDefault="005343EC" w:rsidP="005343EC">
      <w:pPr>
        <w:jc w:val="both"/>
        <w:rPr>
          <w:rFonts w:ascii="Arial" w:hAnsi="Arial" w:cs="Arial"/>
          <w:b/>
          <w:sz w:val="20"/>
          <w:szCs w:val="20"/>
          <w:lang w:val="en-US"/>
        </w:rPr>
      </w:pPr>
    </w:p>
    <w:p w14:paraId="12ED6992" w14:textId="77777777" w:rsidR="005343EC" w:rsidRDefault="005343EC" w:rsidP="005343EC">
      <w:pPr>
        <w:jc w:val="both"/>
        <w:rPr>
          <w:rFonts w:ascii="Arial" w:hAnsi="Arial" w:cs="Arial"/>
          <w:b/>
          <w:sz w:val="20"/>
          <w:szCs w:val="20"/>
          <w:lang w:val="en-US"/>
        </w:rPr>
      </w:pPr>
    </w:p>
    <w:p w14:paraId="38F7BF49" w14:textId="77777777" w:rsidR="005343EC" w:rsidRDefault="005343EC" w:rsidP="005343EC">
      <w:pPr>
        <w:jc w:val="both"/>
        <w:rPr>
          <w:rFonts w:ascii="Arial" w:hAnsi="Arial" w:cs="Arial"/>
          <w:b/>
          <w:sz w:val="20"/>
          <w:szCs w:val="20"/>
          <w:lang w:val="en-US"/>
        </w:rPr>
      </w:pPr>
    </w:p>
    <w:p w14:paraId="137224AB" w14:textId="77777777" w:rsidR="005343EC" w:rsidRDefault="005343EC" w:rsidP="005343EC">
      <w:pPr>
        <w:jc w:val="both"/>
        <w:rPr>
          <w:rFonts w:ascii="Arial" w:hAnsi="Arial" w:cs="Arial"/>
          <w:b/>
          <w:sz w:val="20"/>
          <w:szCs w:val="20"/>
          <w:lang w:val="en-US"/>
        </w:rPr>
      </w:pPr>
    </w:p>
    <w:p w14:paraId="1CF58319" w14:textId="77777777" w:rsidR="005343EC" w:rsidRPr="0020476F" w:rsidRDefault="005343EC" w:rsidP="005343EC">
      <w:pPr>
        <w:jc w:val="both"/>
        <w:rPr>
          <w:rFonts w:ascii="Arial" w:hAnsi="Arial" w:cs="Arial"/>
          <w:b/>
          <w:sz w:val="20"/>
          <w:szCs w:val="20"/>
          <w:lang w:val="en-US"/>
        </w:rPr>
      </w:pPr>
      <w:r w:rsidRPr="0020476F">
        <w:rPr>
          <w:rFonts w:ascii="Arial" w:hAnsi="Arial" w:cs="Arial"/>
          <w:b/>
          <w:sz w:val="20"/>
          <w:szCs w:val="20"/>
          <w:lang w:val="en-US"/>
        </w:rPr>
        <w:t>TO ALL PRACTICES IN SURREY AND SUSSEX LMCs</w:t>
      </w:r>
    </w:p>
    <w:p w14:paraId="11B31ACB" w14:textId="77777777" w:rsidR="005343EC" w:rsidRDefault="005343EC" w:rsidP="005343EC">
      <w:pPr>
        <w:jc w:val="both"/>
        <w:rPr>
          <w:rFonts w:ascii="Arial" w:hAnsi="Arial" w:cs="Arial"/>
          <w:sz w:val="20"/>
          <w:szCs w:val="20"/>
          <w:lang w:val="en-US"/>
        </w:rPr>
      </w:pPr>
    </w:p>
    <w:p w14:paraId="1F17A6E1" w14:textId="77777777" w:rsidR="005343EC" w:rsidRDefault="005343EC" w:rsidP="005343EC">
      <w:pPr>
        <w:jc w:val="both"/>
        <w:rPr>
          <w:rFonts w:ascii="Arial" w:hAnsi="Arial" w:cs="Arial"/>
          <w:sz w:val="20"/>
          <w:szCs w:val="20"/>
          <w:lang w:val="en-US"/>
        </w:rPr>
      </w:pPr>
    </w:p>
    <w:p w14:paraId="6969C400" w14:textId="77777777" w:rsidR="005343EC" w:rsidRDefault="005343EC" w:rsidP="005343EC">
      <w:pPr>
        <w:jc w:val="both"/>
        <w:rPr>
          <w:rFonts w:ascii="Arial" w:hAnsi="Arial" w:cs="Arial"/>
          <w:sz w:val="20"/>
          <w:szCs w:val="20"/>
          <w:lang w:val="en-US"/>
        </w:rPr>
      </w:pPr>
    </w:p>
    <w:p w14:paraId="19913208" w14:textId="77777777" w:rsidR="005343EC" w:rsidRPr="0020476F" w:rsidRDefault="005343EC" w:rsidP="005343EC">
      <w:pPr>
        <w:jc w:val="both"/>
        <w:rPr>
          <w:rFonts w:asciiTheme="minorHAnsi" w:hAnsiTheme="minorHAnsi" w:cs="Arial"/>
          <w:sz w:val="24"/>
          <w:szCs w:val="24"/>
          <w:lang w:val="en-US"/>
        </w:rPr>
      </w:pPr>
    </w:p>
    <w:p w14:paraId="7239244F" w14:textId="77777777" w:rsidR="005343EC" w:rsidRPr="0020476F" w:rsidRDefault="005343EC" w:rsidP="005343EC">
      <w:pPr>
        <w:jc w:val="both"/>
        <w:rPr>
          <w:rFonts w:asciiTheme="minorHAnsi" w:hAnsiTheme="minorHAnsi" w:cs="Arial"/>
          <w:sz w:val="24"/>
          <w:szCs w:val="24"/>
          <w:lang w:val="en-US"/>
        </w:rPr>
      </w:pPr>
      <w:r w:rsidRPr="0020476F">
        <w:rPr>
          <w:rFonts w:asciiTheme="minorHAnsi" w:hAnsiTheme="minorHAnsi" w:cs="Arial"/>
          <w:sz w:val="24"/>
          <w:szCs w:val="24"/>
          <w:lang w:val="en-US"/>
        </w:rPr>
        <w:t>Dear Colleague</w:t>
      </w:r>
    </w:p>
    <w:p w14:paraId="1532EEE0" w14:textId="77777777" w:rsidR="005343EC" w:rsidRPr="0020476F" w:rsidRDefault="005343EC" w:rsidP="005343EC">
      <w:pPr>
        <w:jc w:val="both"/>
        <w:rPr>
          <w:rFonts w:asciiTheme="minorHAnsi" w:hAnsiTheme="minorHAnsi" w:cs="Arial"/>
          <w:sz w:val="24"/>
          <w:szCs w:val="24"/>
          <w:lang w:val="en-US"/>
        </w:rPr>
      </w:pPr>
    </w:p>
    <w:p w14:paraId="5E02CABC" w14:textId="77777777" w:rsidR="005343EC" w:rsidRPr="0020476F" w:rsidRDefault="005343EC" w:rsidP="005343EC">
      <w:pPr>
        <w:jc w:val="both"/>
        <w:rPr>
          <w:rFonts w:asciiTheme="minorHAnsi" w:hAnsiTheme="minorHAnsi" w:cs="Arial"/>
          <w:sz w:val="24"/>
          <w:szCs w:val="24"/>
          <w:lang w:val="en-US"/>
        </w:rPr>
      </w:pPr>
      <w:r w:rsidRPr="0020476F">
        <w:rPr>
          <w:rFonts w:asciiTheme="minorHAnsi" w:hAnsiTheme="minorHAnsi" w:cs="Arial"/>
          <w:sz w:val="24"/>
          <w:szCs w:val="24"/>
          <w:lang w:val="en-US"/>
        </w:rPr>
        <w:t xml:space="preserve">You will be aware of the recent measles outbreaks across Surrey and Sussex, and the LMC has written to all practices </w:t>
      </w:r>
      <w:r>
        <w:rPr>
          <w:rFonts w:asciiTheme="minorHAnsi" w:hAnsiTheme="minorHAnsi" w:cs="Arial"/>
          <w:sz w:val="24"/>
          <w:szCs w:val="24"/>
          <w:lang w:val="en-US"/>
        </w:rPr>
        <w:t>earlier this month</w:t>
      </w:r>
      <w:r w:rsidRPr="0020476F">
        <w:rPr>
          <w:rFonts w:asciiTheme="minorHAnsi" w:hAnsiTheme="minorHAnsi" w:cs="Arial"/>
          <w:sz w:val="24"/>
          <w:szCs w:val="24"/>
          <w:lang w:val="en-US"/>
        </w:rPr>
        <w:t xml:space="preserve"> to explain the issues.</w:t>
      </w:r>
    </w:p>
    <w:p w14:paraId="2C287374" w14:textId="77777777" w:rsidR="005343EC" w:rsidRPr="0020476F" w:rsidRDefault="005343EC" w:rsidP="005343EC">
      <w:pPr>
        <w:jc w:val="both"/>
        <w:rPr>
          <w:rFonts w:asciiTheme="minorHAnsi" w:hAnsiTheme="minorHAnsi" w:cs="Arial"/>
          <w:sz w:val="24"/>
          <w:szCs w:val="24"/>
          <w:lang w:val="en-US"/>
        </w:rPr>
      </w:pPr>
    </w:p>
    <w:p w14:paraId="26E1E4DC" w14:textId="77777777" w:rsidR="005343EC" w:rsidRPr="0020476F" w:rsidRDefault="005343EC" w:rsidP="005343EC">
      <w:pPr>
        <w:jc w:val="both"/>
        <w:rPr>
          <w:rFonts w:asciiTheme="minorHAnsi" w:hAnsiTheme="minorHAnsi" w:cs="Arial"/>
          <w:sz w:val="24"/>
          <w:szCs w:val="24"/>
          <w:lang w:val="en-US"/>
        </w:rPr>
      </w:pPr>
      <w:r w:rsidRPr="0020476F">
        <w:rPr>
          <w:rFonts w:asciiTheme="minorHAnsi" w:hAnsiTheme="minorHAnsi" w:cs="Arial"/>
          <w:sz w:val="24"/>
          <w:szCs w:val="24"/>
          <w:lang w:val="en-US"/>
        </w:rPr>
        <w:t xml:space="preserve">Having </w:t>
      </w:r>
      <w:r>
        <w:rPr>
          <w:rFonts w:asciiTheme="minorHAnsi" w:hAnsiTheme="minorHAnsi" w:cs="Arial"/>
          <w:sz w:val="24"/>
          <w:szCs w:val="24"/>
          <w:lang w:val="en-US"/>
        </w:rPr>
        <w:t xml:space="preserve">now </w:t>
      </w:r>
      <w:r w:rsidRPr="0020476F">
        <w:rPr>
          <w:rFonts w:asciiTheme="minorHAnsi" w:hAnsiTheme="minorHAnsi" w:cs="Arial"/>
          <w:sz w:val="24"/>
          <w:szCs w:val="24"/>
          <w:lang w:val="en-US"/>
        </w:rPr>
        <w:t xml:space="preserve">met with Public Health England (PHE), and given that practices will be receiving further information from PHE and commissioners about the outbreaks, the LMC thought it would be useful to clarify the </w:t>
      </w:r>
      <w:r>
        <w:rPr>
          <w:rFonts w:asciiTheme="minorHAnsi" w:hAnsiTheme="minorHAnsi" w:cs="Arial"/>
          <w:sz w:val="24"/>
          <w:szCs w:val="24"/>
          <w:lang w:val="en-US"/>
        </w:rPr>
        <w:t xml:space="preserve">following </w:t>
      </w:r>
      <w:proofErr w:type="gramStart"/>
      <w:r>
        <w:rPr>
          <w:rFonts w:asciiTheme="minorHAnsi" w:hAnsiTheme="minorHAnsi" w:cs="Arial"/>
          <w:sz w:val="24"/>
          <w:szCs w:val="24"/>
          <w:lang w:val="en-US"/>
        </w:rPr>
        <w:t>points:-</w:t>
      </w:r>
      <w:proofErr w:type="gramEnd"/>
    </w:p>
    <w:p w14:paraId="43159CD8" w14:textId="77777777" w:rsidR="005343EC" w:rsidRPr="0020476F" w:rsidRDefault="005343EC" w:rsidP="005343EC">
      <w:pPr>
        <w:jc w:val="both"/>
        <w:rPr>
          <w:rFonts w:asciiTheme="minorHAnsi" w:hAnsiTheme="minorHAnsi" w:cs="Arial"/>
          <w:sz w:val="24"/>
          <w:szCs w:val="24"/>
          <w:lang w:val="en-US"/>
        </w:rPr>
      </w:pPr>
    </w:p>
    <w:p w14:paraId="2F2EEAE7" w14:textId="77777777" w:rsidR="005343EC" w:rsidRPr="0020476F" w:rsidRDefault="005343EC" w:rsidP="005343EC">
      <w:pPr>
        <w:numPr>
          <w:ilvl w:val="0"/>
          <w:numId w:val="1"/>
        </w:numPr>
        <w:ind w:left="413"/>
        <w:jc w:val="both"/>
        <w:rPr>
          <w:rFonts w:asciiTheme="minorHAnsi" w:hAnsiTheme="minorHAnsi" w:cs="Arial"/>
          <w:sz w:val="24"/>
          <w:szCs w:val="24"/>
          <w:lang w:val="en-US"/>
        </w:rPr>
      </w:pPr>
      <w:r w:rsidRPr="0020476F">
        <w:rPr>
          <w:rFonts w:asciiTheme="minorHAnsi" w:hAnsiTheme="minorHAnsi" w:cs="Arial"/>
          <w:sz w:val="24"/>
          <w:szCs w:val="24"/>
          <w:lang w:val="en-US"/>
        </w:rPr>
        <w:t>There are currently measles outbreaks in Surrey and Sussex, and in at least one case, the disease was transmitted between patients from a healthcare worker.</w:t>
      </w:r>
    </w:p>
    <w:p w14:paraId="35F670FE" w14:textId="77777777" w:rsidR="005343EC" w:rsidRPr="0020476F" w:rsidRDefault="005343EC" w:rsidP="005343EC">
      <w:pPr>
        <w:jc w:val="both"/>
        <w:rPr>
          <w:rFonts w:asciiTheme="minorHAnsi" w:hAnsiTheme="minorHAnsi" w:cs="Arial"/>
          <w:sz w:val="24"/>
          <w:szCs w:val="24"/>
          <w:lang w:val="en-US"/>
        </w:rPr>
      </w:pPr>
    </w:p>
    <w:p w14:paraId="4A598847" w14:textId="77777777" w:rsidR="005343EC" w:rsidRPr="0020476F" w:rsidRDefault="005343EC" w:rsidP="005343EC">
      <w:pPr>
        <w:numPr>
          <w:ilvl w:val="0"/>
          <w:numId w:val="2"/>
        </w:numPr>
        <w:ind w:left="413"/>
        <w:jc w:val="both"/>
        <w:rPr>
          <w:rFonts w:asciiTheme="minorHAnsi" w:hAnsiTheme="minorHAnsi" w:cs="Arial"/>
          <w:sz w:val="24"/>
          <w:szCs w:val="24"/>
          <w:lang w:val="en-US"/>
        </w:rPr>
      </w:pPr>
      <w:r w:rsidRPr="0020476F">
        <w:rPr>
          <w:rFonts w:asciiTheme="minorHAnsi" w:hAnsiTheme="minorHAnsi" w:cs="Arial"/>
          <w:sz w:val="24"/>
          <w:szCs w:val="24"/>
          <w:lang w:val="en-US"/>
        </w:rPr>
        <w:t xml:space="preserve">Some children and adults in Surrey and Sussex remain </w:t>
      </w:r>
      <w:proofErr w:type="spellStart"/>
      <w:r w:rsidRPr="0020476F">
        <w:rPr>
          <w:rFonts w:asciiTheme="minorHAnsi" w:hAnsiTheme="minorHAnsi" w:cs="Arial"/>
          <w:sz w:val="24"/>
          <w:szCs w:val="24"/>
          <w:lang w:val="en-US"/>
        </w:rPr>
        <w:t>unimmunised</w:t>
      </w:r>
      <w:proofErr w:type="spellEnd"/>
      <w:r w:rsidRPr="0020476F">
        <w:rPr>
          <w:rFonts w:asciiTheme="minorHAnsi" w:hAnsiTheme="minorHAnsi" w:cs="Arial"/>
          <w:sz w:val="24"/>
          <w:szCs w:val="24"/>
          <w:lang w:val="en-US"/>
        </w:rPr>
        <w:t xml:space="preserve"> or partially </w:t>
      </w:r>
      <w:proofErr w:type="spellStart"/>
      <w:r w:rsidRPr="0020476F">
        <w:rPr>
          <w:rFonts w:asciiTheme="minorHAnsi" w:hAnsiTheme="minorHAnsi" w:cs="Arial"/>
          <w:sz w:val="24"/>
          <w:szCs w:val="24"/>
          <w:lang w:val="en-US"/>
        </w:rPr>
        <w:t>immunised</w:t>
      </w:r>
      <w:proofErr w:type="spellEnd"/>
      <w:r w:rsidRPr="0020476F">
        <w:rPr>
          <w:rFonts w:asciiTheme="minorHAnsi" w:hAnsiTheme="minorHAnsi" w:cs="Arial"/>
          <w:sz w:val="24"/>
          <w:szCs w:val="24"/>
          <w:lang w:val="en-US"/>
        </w:rPr>
        <w:t xml:space="preserve"> against measles. The measles vaccine was introduced in 1968 and was replaced by the MMR vaccine in 1988. The required level of immunity is two doses of the vaccine.</w:t>
      </w:r>
    </w:p>
    <w:p w14:paraId="67CDFAFC" w14:textId="77777777" w:rsidR="005343EC" w:rsidRPr="0020476F" w:rsidRDefault="005343EC" w:rsidP="005343EC">
      <w:pPr>
        <w:ind w:left="413"/>
        <w:jc w:val="both"/>
        <w:rPr>
          <w:rFonts w:asciiTheme="minorHAnsi" w:hAnsiTheme="minorHAnsi" w:cs="Arial"/>
          <w:sz w:val="24"/>
          <w:szCs w:val="24"/>
          <w:lang w:val="en-US"/>
        </w:rPr>
      </w:pPr>
    </w:p>
    <w:p w14:paraId="642284AA" w14:textId="77777777" w:rsidR="005343EC" w:rsidRPr="0020476F" w:rsidRDefault="005343EC" w:rsidP="005343EC">
      <w:pPr>
        <w:numPr>
          <w:ilvl w:val="0"/>
          <w:numId w:val="3"/>
        </w:numPr>
        <w:ind w:left="413"/>
        <w:jc w:val="both"/>
        <w:rPr>
          <w:rFonts w:asciiTheme="minorHAnsi" w:hAnsiTheme="minorHAnsi" w:cs="Arial"/>
          <w:sz w:val="24"/>
          <w:szCs w:val="24"/>
          <w:lang w:val="en-US"/>
        </w:rPr>
      </w:pPr>
      <w:r w:rsidRPr="0020476F">
        <w:rPr>
          <w:rFonts w:asciiTheme="minorHAnsi" w:hAnsiTheme="minorHAnsi" w:cs="Arial"/>
          <w:sz w:val="24"/>
          <w:szCs w:val="24"/>
          <w:lang w:val="en-US"/>
        </w:rPr>
        <w:t>Patients: the contractual status for GPs:</w:t>
      </w:r>
    </w:p>
    <w:p w14:paraId="1B4855E9" w14:textId="77777777" w:rsidR="005343EC" w:rsidRPr="0020476F" w:rsidRDefault="005343EC" w:rsidP="005343EC">
      <w:pPr>
        <w:pStyle w:val="ListParagraph"/>
        <w:jc w:val="both"/>
        <w:rPr>
          <w:rFonts w:asciiTheme="minorHAnsi" w:hAnsiTheme="minorHAnsi" w:cs="Arial"/>
          <w:sz w:val="24"/>
          <w:szCs w:val="24"/>
          <w:lang w:val="en-US"/>
        </w:rPr>
      </w:pPr>
    </w:p>
    <w:p w14:paraId="4114918E" w14:textId="77777777" w:rsidR="005343EC" w:rsidRPr="0020476F" w:rsidRDefault="005343EC" w:rsidP="005343EC">
      <w:pPr>
        <w:numPr>
          <w:ilvl w:val="1"/>
          <w:numId w:val="4"/>
        </w:numPr>
        <w:ind w:left="1133"/>
        <w:jc w:val="both"/>
        <w:rPr>
          <w:rFonts w:asciiTheme="minorHAnsi" w:hAnsiTheme="minorHAnsi" w:cs="Arial"/>
          <w:sz w:val="24"/>
          <w:szCs w:val="24"/>
          <w:lang w:val="en-US"/>
        </w:rPr>
      </w:pPr>
      <w:r w:rsidRPr="0020476F">
        <w:rPr>
          <w:rFonts w:asciiTheme="minorHAnsi" w:hAnsiTheme="minorHAnsi" w:cs="Arial"/>
          <w:sz w:val="24"/>
          <w:szCs w:val="24"/>
          <w:lang w:val="en-US"/>
        </w:rPr>
        <w:t xml:space="preserve">The </w:t>
      </w:r>
      <w:proofErr w:type="spellStart"/>
      <w:r w:rsidRPr="0020476F">
        <w:rPr>
          <w:rFonts w:asciiTheme="minorHAnsi" w:hAnsiTheme="minorHAnsi" w:cs="Arial"/>
          <w:sz w:val="24"/>
          <w:szCs w:val="24"/>
          <w:lang w:val="en-US"/>
        </w:rPr>
        <w:t>immunisation</w:t>
      </w:r>
      <w:proofErr w:type="spellEnd"/>
      <w:r w:rsidRPr="0020476F">
        <w:rPr>
          <w:rFonts w:asciiTheme="minorHAnsi" w:hAnsiTheme="minorHAnsi" w:cs="Arial"/>
          <w:sz w:val="24"/>
          <w:szCs w:val="24"/>
          <w:lang w:val="en-US"/>
        </w:rPr>
        <w:t xml:space="preserve"> of children under 16 is </w:t>
      </w:r>
      <w:r>
        <w:rPr>
          <w:rFonts w:asciiTheme="minorHAnsi" w:hAnsiTheme="minorHAnsi" w:cs="Arial"/>
          <w:sz w:val="24"/>
          <w:szCs w:val="24"/>
          <w:lang w:val="en-US"/>
        </w:rPr>
        <w:t xml:space="preserve">funded through the usual mechanisms for childhood </w:t>
      </w:r>
      <w:proofErr w:type="spellStart"/>
      <w:r>
        <w:rPr>
          <w:rFonts w:asciiTheme="minorHAnsi" w:hAnsiTheme="minorHAnsi" w:cs="Arial"/>
          <w:sz w:val="24"/>
          <w:szCs w:val="24"/>
          <w:lang w:val="en-US"/>
        </w:rPr>
        <w:t>immunisations</w:t>
      </w:r>
      <w:proofErr w:type="spellEnd"/>
      <w:r>
        <w:rPr>
          <w:rFonts w:asciiTheme="minorHAnsi" w:hAnsiTheme="minorHAnsi" w:cs="Arial"/>
          <w:sz w:val="24"/>
          <w:szCs w:val="24"/>
          <w:lang w:val="en-US"/>
        </w:rPr>
        <w:t>.</w:t>
      </w:r>
    </w:p>
    <w:p w14:paraId="4D20BA1E" w14:textId="77777777" w:rsidR="005343EC" w:rsidRPr="0020476F" w:rsidRDefault="005343EC" w:rsidP="005343EC">
      <w:pPr>
        <w:pStyle w:val="ListParagraph"/>
        <w:ind w:left="1133"/>
        <w:jc w:val="both"/>
        <w:rPr>
          <w:rFonts w:asciiTheme="minorHAnsi" w:hAnsiTheme="minorHAnsi" w:cs="Arial"/>
          <w:sz w:val="24"/>
          <w:szCs w:val="24"/>
          <w:lang w:val="en-US"/>
        </w:rPr>
      </w:pPr>
    </w:p>
    <w:p w14:paraId="7B910050" w14:textId="77777777" w:rsidR="005343EC" w:rsidRPr="0020476F" w:rsidRDefault="005343EC" w:rsidP="005343EC">
      <w:pPr>
        <w:numPr>
          <w:ilvl w:val="1"/>
          <w:numId w:val="5"/>
        </w:numPr>
        <w:ind w:left="1133"/>
        <w:jc w:val="both"/>
        <w:rPr>
          <w:rFonts w:asciiTheme="minorHAnsi" w:hAnsiTheme="minorHAnsi" w:cs="Arial"/>
          <w:sz w:val="24"/>
          <w:szCs w:val="24"/>
          <w:lang w:val="en-US"/>
        </w:rPr>
      </w:pPr>
      <w:r w:rsidRPr="0020476F">
        <w:rPr>
          <w:rFonts w:asciiTheme="minorHAnsi" w:hAnsiTheme="minorHAnsi" w:cs="Arial"/>
          <w:sz w:val="24"/>
          <w:szCs w:val="24"/>
          <w:lang w:val="en-US"/>
        </w:rPr>
        <w:t xml:space="preserve">There is a nationally funded </w:t>
      </w:r>
      <w:hyperlink r:id="rId6" w:history="1">
        <w:r w:rsidRPr="0020476F">
          <w:rPr>
            <w:rStyle w:val="Hyperlink"/>
            <w:rFonts w:asciiTheme="minorHAnsi" w:hAnsiTheme="minorHAnsi" w:cs="Arial"/>
            <w:sz w:val="24"/>
            <w:szCs w:val="24"/>
            <w:lang w:val="en-US"/>
          </w:rPr>
          <w:t xml:space="preserve">catch-up </w:t>
        </w:r>
        <w:proofErr w:type="spellStart"/>
        <w:r w:rsidRPr="0020476F">
          <w:rPr>
            <w:rStyle w:val="Hyperlink"/>
            <w:rFonts w:asciiTheme="minorHAnsi" w:hAnsiTheme="minorHAnsi" w:cs="Arial"/>
            <w:sz w:val="24"/>
            <w:szCs w:val="24"/>
            <w:lang w:val="en-US"/>
          </w:rPr>
          <w:t>programme</w:t>
        </w:r>
        <w:proofErr w:type="spellEnd"/>
      </w:hyperlink>
      <w:r w:rsidRPr="0020476F">
        <w:rPr>
          <w:rFonts w:asciiTheme="minorHAnsi" w:hAnsiTheme="minorHAnsi" w:cs="Arial"/>
          <w:sz w:val="24"/>
          <w:szCs w:val="24"/>
          <w:lang w:val="en-US"/>
        </w:rPr>
        <w:t xml:space="preserve"> for MMR </w:t>
      </w:r>
      <w:proofErr w:type="spellStart"/>
      <w:r w:rsidRPr="0020476F">
        <w:rPr>
          <w:rFonts w:asciiTheme="minorHAnsi" w:hAnsiTheme="minorHAnsi" w:cs="Arial"/>
          <w:sz w:val="24"/>
          <w:szCs w:val="24"/>
          <w:lang w:val="en-US"/>
        </w:rPr>
        <w:t>immunisation</w:t>
      </w:r>
      <w:proofErr w:type="spellEnd"/>
      <w:r w:rsidRPr="0020476F">
        <w:rPr>
          <w:rFonts w:asciiTheme="minorHAnsi" w:hAnsiTheme="minorHAnsi" w:cs="Arial"/>
          <w:sz w:val="24"/>
          <w:szCs w:val="24"/>
          <w:lang w:val="en-US"/>
        </w:rPr>
        <w:t xml:space="preserve"> for adults. </w:t>
      </w:r>
      <w:r w:rsidRPr="0020476F">
        <w:rPr>
          <w:rFonts w:asciiTheme="minorHAnsi" w:hAnsiTheme="minorHAnsi"/>
          <w:sz w:val="24"/>
          <w:szCs w:val="24"/>
        </w:rPr>
        <w:t xml:space="preserve">If a </w:t>
      </w:r>
      <w:r w:rsidRPr="0020476F">
        <w:rPr>
          <w:rFonts w:asciiTheme="minorHAnsi" w:hAnsiTheme="minorHAnsi" w:cs="Arial"/>
          <w:sz w:val="24"/>
          <w:szCs w:val="24"/>
          <w:lang w:val="en-US"/>
        </w:rPr>
        <w:t xml:space="preserve">practice vaccinates a patient aged 16 and over who was previously unvaccinated, </w:t>
      </w:r>
      <w:r>
        <w:rPr>
          <w:rFonts w:asciiTheme="minorHAnsi" w:hAnsiTheme="minorHAnsi" w:cs="Arial"/>
          <w:sz w:val="24"/>
          <w:szCs w:val="24"/>
          <w:lang w:val="en-US"/>
        </w:rPr>
        <w:t xml:space="preserve">or where vaccination status is uncertain, </w:t>
      </w:r>
      <w:r w:rsidRPr="0020476F">
        <w:rPr>
          <w:rFonts w:asciiTheme="minorHAnsi" w:hAnsiTheme="minorHAnsi" w:cs="Arial"/>
          <w:sz w:val="24"/>
          <w:szCs w:val="24"/>
          <w:lang w:val="en-US"/>
        </w:rPr>
        <w:t xml:space="preserve">reimbursement </w:t>
      </w:r>
      <w:r>
        <w:rPr>
          <w:rFonts w:asciiTheme="minorHAnsi" w:hAnsiTheme="minorHAnsi" w:cs="Arial"/>
          <w:sz w:val="24"/>
          <w:szCs w:val="24"/>
          <w:lang w:val="en-US"/>
        </w:rPr>
        <w:t>should</w:t>
      </w:r>
      <w:r w:rsidRPr="0020476F">
        <w:rPr>
          <w:rFonts w:asciiTheme="minorHAnsi" w:hAnsiTheme="minorHAnsi" w:cs="Arial"/>
          <w:sz w:val="24"/>
          <w:szCs w:val="24"/>
          <w:lang w:val="en-US"/>
        </w:rPr>
        <w:t xml:space="preserve"> be claimed manually via CQRS.  </w:t>
      </w:r>
    </w:p>
    <w:p w14:paraId="04C60117" w14:textId="77777777" w:rsidR="005343EC" w:rsidRPr="0020476F" w:rsidRDefault="005343EC" w:rsidP="005343EC">
      <w:pPr>
        <w:jc w:val="both"/>
        <w:rPr>
          <w:rFonts w:asciiTheme="minorHAnsi" w:hAnsiTheme="minorHAnsi" w:cs="Arial"/>
          <w:sz w:val="24"/>
          <w:szCs w:val="24"/>
          <w:lang w:val="en-US"/>
        </w:rPr>
      </w:pPr>
    </w:p>
    <w:p w14:paraId="743DF3EC" w14:textId="07C39668" w:rsidR="005343EC" w:rsidRPr="005343EC" w:rsidRDefault="005343EC" w:rsidP="005343EC">
      <w:pPr>
        <w:numPr>
          <w:ilvl w:val="1"/>
          <w:numId w:val="6"/>
        </w:numPr>
        <w:ind w:left="1133"/>
        <w:jc w:val="both"/>
        <w:rPr>
          <w:rFonts w:asciiTheme="minorHAnsi" w:hAnsiTheme="minorHAnsi" w:cs="Arial"/>
          <w:sz w:val="24"/>
          <w:szCs w:val="24"/>
          <w:lang w:val="en-US"/>
        </w:rPr>
      </w:pPr>
      <w:r w:rsidRPr="0020476F">
        <w:rPr>
          <w:rFonts w:asciiTheme="minorHAnsi" w:hAnsiTheme="minorHAnsi"/>
          <w:sz w:val="24"/>
          <w:szCs w:val="24"/>
        </w:rPr>
        <w:t xml:space="preserve">NHSE and PHE are considering asking practices to re-invite unvaccinated children between 5 and 11, with reimbursement for any vaccines given. This is likely to be </w:t>
      </w:r>
    </w:p>
    <w:p w14:paraId="756DB605" w14:textId="0CECDE66" w:rsidR="005343EC" w:rsidRDefault="005343EC" w:rsidP="005343EC">
      <w:pPr>
        <w:jc w:val="both"/>
        <w:rPr>
          <w:rFonts w:asciiTheme="minorHAnsi" w:hAnsiTheme="minorHAnsi" w:cs="Arial"/>
          <w:sz w:val="24"/>
          <w:szCs w:val="24"/>
          <w:lang w:val="en-US"/>
        </w:rPr>
      </w:pPr>
    </w:p>
    <w:p w14:paraId="761C96D7" w14:textId="41D3A141" w:rsidR="005343EC" w:rsidRDefault="005343EC" w:rsidP="005343EC">
      <w:pPr>
        <w:jc w:val="both"/>
        <w:rPr>
          <w:rFonts w:asciiTheme="minorHAnsi" w:hAnsiTheme="minorHAnsi" w:cs="Arial"/>
          <w:sz w:val="24"/>
          <w:szCs w:val="24"/>
          <w:lang w:val="en-US"/>
        </w:rPr>
      </w:pPr>
    </w:p>
    <w:p w14:paraId="47DDBE7B" w14:textId="0B173382" w:rsidR="005343EC" w:rsidRPr="007A3400" w:rsidRDefault="005343EC" w:rsidP="005343EC">
      <w:pPr>
        <w:rPr>
          <w:sz w:val="18"/>
          <w:szCs w:val="18"/>
        </w:rPr>
      </w:pPr>
      <w:r>
        <w:rPr>
          <w:sz w:val="18"/>
          <w:szCs w:val="18"/>
        </w:rPr>
        <w:t xml:space="preserve">                                                                                                                                                      </w:t>
      </w:r>
      <w:r w:rsidRPr="007A3400">
        <w:rPr>
          <w:sz w:val="18"/>
          <w:szCs w:val="18"/>
        </w:rPr>
        <w:t>Local Medical Committees for</w:t>
      </w:r>
      <w:r>
        <w:rPr>
          <w:sz w:val="18"/>
          <w:szCs w:val="18"/>
        </w:rPr>
        <w:t xml:space="preserve">  </w:t>
      </w:r>
    </w:p>
    <w:p w14:paraId="3E16C6DE" w14:textId="58864B52" w:rsidR="005343EC" w:rsidRPr="007A3400" w:rsidRDefault="005343EC" w:rsidP="005343EC">
      <w:pPr>
        <w:rPr>
          <w:sz w:val="18"/>
          <w:szCs w:val="18"/>
        </w:rPr>
      </w:pPr>
      <w:r w:rsidRPr="007A3400">
        <w:rPr>
          <w:sz w:val="18"/>
          <w:szCs w:val="18"/>
        </w:rPr>
        <w:t xml:space="preserve">                                                                                                        </w:t>
      </w:r>
      <w:r>
        <w:rPr>
          <w:sz w:val="18"/>
          <w:szCs w:val="18"/>
        </w:rPr>
        <w:t xml:space="preserve">                                              </w:t>
      </w:r>
      <w:r w:rsidRPr="007A3400">
        <w:rPr>
          <w:sz w:val="18"/>
          <w:szCs w:val="18"/>
        </w:rPr>
        <w:t>Croydon, Kingston &amp; Richmond, Surrey,</w:t>
      </w:r>
    </w:p>
    <w:p w14:paraId="0AD7FC4E" w14:textId="77777777" w:rsidR="005343EC" w:rsidRPr="007A3400" w:rsidRDefault="005343EC" w:rsidP="005343EC">
      <w:pPr>
        <w:tabs>
          <w:tab w:val="left" w:pos="6096"/>
        </w:tabs>
        <w:rPr>
          <w:sz w:val="18"/>
          <w:szCs w:val="18"/>
        </w:rPr>
      </w:pPr>
      <w:r w:rsidRPr="007A3400">
        <w:rPr>
          <w:sz w:val="18"/>
          <w:szCs w:val="18"/>
        </w:rPr>
        <w:t xml:space="preserve">                                                                                                             </w:t>
      </w:r>
      <w:r>
        <w:rPr>
          <w:sz w:val="18"/>
          <w:szCs w:val="18"/>
        </w:rPr>
        <w:t xml:space="preserve">                                        </w:t>
      </w:r>
      <w:r w:rsidRPr="007A3400">
        <w:rPr>
          <w:sz w:val="18"/>
          <w:szCs w:val="18"/>
        </w:rPr>
        <w:t xml:space="preserve"> East Sussex and West Sussex</w:t>
      </w:r>
    </w:p>
    <w:p w14:paraId="1AF70505" w14:textId="77777777" w:rsidR="005343EC" w:rsidRPr="007A3400" w:rsidRDefault="005343EC" w:rsidP="005343EC">
      <w:pPr>
        <w:rPr>
          <w:sz w:val="18"/>
          <w:szCs w:val="18"/>
        </w:rPr>
      </w:pPr>
    </w:p>
    <w:p w14:paraId="11884BA3" w14:textId="77777777" w:rsidR="005343EC" w:rsidRPr="007A3400" w:rsidRDefault="005343EC" w:rsidP="005343EC">
      <w:pPr>
        <w:rPr>
          <w:sz w:val="18"/>
          <w:szCs w:val="18"/>
        </w:rPr>
      </w:pPr>
      <w:r w:rsidRPr="007A3400">
        <w:rPr>
          <w:sz w:val="18"/>
          <w:szCs w:val="18"/>
        </w:rPr>
        <w:t xml:space="preserve">                                                                                                             </w:t>
      </w:r>
      <w:r>
        <w:rPr>
          <w:sz w:val="18"/>
          <w:szCs w:val="18"/>
        </w:rPr>
        <w:t xml:space="preserve">                                         </w:t>
      </w:r>
      <w:r w:rsidRPr="007A3400">
        <w:rPr>
          <w:sz w:val="18"/>
          <w:szCs w:val="18"/>
        </w:rPr>
        <w:t>The White House          T: 01372 389270</w:t>
      </w:r>
    </w:p>
    <w:p w14:paraId="34CA763F" w14:textId="77777777" w:rsidR="005343EC" w:rsidRPr="007A3400" w:rsidRDefault="005343EC" w:rsidP="005343EC">
      <w:pPr>
        <w:rPr>
          <w:sz w:val="18"/>
          <w:szCs w:val="18"/>
        </w:rPr>
      </w:pPr>
      <w:r w:rsidRPr="007A3400">
        <w:rPr>
          <w:sz w:val="18"/>
          <w:szCs w:val="18"/>
        </w:rPr>
        <w:t xml:space="preserve">                                                                                                            </w:t>
      </w:r>
      <w:r>
        <w:rPr>
          <w:sz w:val="18"/>
          <w:szCs w:val="18"/>
        </w:rPr>
        <w:t xml:space="preserve">                                         </w:t>
      </w:r>
      <w:r w:rsidRPr="007A3400">
        <w:rPr>
          <w:sz w:val="18"/>
          <w:szCs w:val="18"/>
        </w:rPr>
        <w:t xml:space="preserve"> 18 Church Road             F: 01372 389271</w:t>
      </w:r>
    </w:p>
    <w:p w14:paraId="5627140B" w14:textId="77777777" w:rsidR="005343EC" w:rsidRPr="007A3400" w:rsidRDefault="005343EC" w:rsidP="005343EC">
      <w:pPr>
        <w:tabs>
          <w:tab w:val="left" w:pos="6096"/>
        </w:tabs>
        <w:rPr>
          <w:sz w:val="18"/>
          <w:szCs w:val="18"/>
        </w:rPr>
      </w:pPr>
      <w:r w:rsidRPr="007A3400">
        <w:rPr>
          <w:sz w:val="18"/>
          <w:szCs w:val="18"/>
        </w:rPr>
        <w:t xml:space="preserve">                                                                                                             </w:t>
      </w:r>
      <w:r>
        <w:rPr>
          <w:sz w:val="18"/>
          <w:szCs w:val="18"/>
        </w:rPr>
        <w:t xml:space="preserve">                                         </w:t>
      </w:r>
      <w:r w:rsidRPr="007A3400">
        <w:rPr>
          <w:sz w:val="18"/>
          <w:szCs w:val="18"/>
        </w:rPr>
        <w:t>Leatherhead</w:t>
      </w:r>
    </w:p>
    <w:p w14:paraId="3438DCF0" w14:textId="48E65DF6" w:rsidR="005343EC" w:rsidRPr="007A3400" w:rsidRDefault="005343EC" w:rsidP="005343EC">
      <w:pPr>
        <w:rPr>
          <w:sz w:val="18"/>
          <w:szCs w:val="18"/>
        </w:rPr>
      </w:pPr>
      <w:r w:rsidRPr="007A3400">
        <w:rPr>
          <w:sz w:val="18"/>
          <w:szCs w:val="18"/>
        </w:rPr>
        <w:t xml:space="preserve">                                                                                                              </w:t>
      </w:r>
      <w:r>
        <w:rPr>
          <w:sz w:val="18"/>
          <w:szCs w:val="18"/>
        </w:rPr>
        <w:t xml:space="preserve">                                        </w:t>
      </w:r>
      <w:proofErr w:type="gramStart"/>
      <w:r w:rsidRPr="007A3400">
        <w:rPr>
          <w:sz w:val="18"/>
          <w:szCs w:val="18"/>
        </w:rPr>
        <w:t>Surrey  KT</w:t>
      </w:r>
      <w:proofErr w:type="gramEnd"/>
      <w:r w:rsidRPr="007A3400">
        <w:rPr>
          <w:sz w:val="18"/>
          <w:szCs w:val="18"/>
        </w:rPr>
        <w:t xml:space="preserve">22 8BB    </w:t>
      </w:r>
      <w:r w:rsidR="003266CE">
        <w:rPr>
          <w:sz w:val="18"/>
          <w:szCs w:val="18"/>
        </w:rPr>
        <w:t xml:space="preserve"> </w:t>
      </w:r>
      <w:r w:rsidRPr="007A3400">
        <w:rPr>
          <w:sz w:val="18"/>
          <w:szCs w:val="18"/>
        </w:rPr>
        <w:t xml:space="preserve">   www.sslmcs.co.uk</w:t>
      </w:r>
    </w:p>
    <w:p w14:paraId="0480AF18" w14:textId="77777777" w:rsidR="005343EC" w:rsidRDefault="005343EC" w:rsidP="005343EC"/>
    <w:p w14:paraId="57C9DF45" w14:textId="3A71FD65" w:rsidR="005343EC" w:rsidRPr="007A3400" w:rsidRDefault="005343EC" w:rsidP="005343EC">
      <w:pPr>
        <w:tabs>
          <w:tab w:val="left" w:pos="5954"/>
          <w:tab w:val="left" w:pos="6096"/>
        </w:tabs>
        <w:rPr>
          <w:color w:val="008080"/>
          <w:sz w:val="20"/>
          <w:szCs w:val="20"/>
        </w:rPr>
      </w:pPr>
      <w:r w:rsidRPr="005343EC">
        <w:rPr>
          <w:color w:val="008080"/>
          <w:sz w:val="18"/>
          <w:szCs w:val="18"/>
        </w:rPr>
        <w:t>Supporting and Representing all local General Practitioners</w:t>
      </w:r>
      <w:r w:rsidRPr="007A3400">
        <w:rPr>
          <w:color w:val="008080"/>
          <w:sz w:val="20"/>
          <w:szCs w:val="20"/>
        </w:rPr>
        <w:t xml:space="preserve">                       </w:t>
      </w:r>
      <w:r w:rsidR="006802DB">
        <w:rPr>
          <w:color w:val="008080"/>
          <w:sz w:val="20"/>
          <w:szCs w:val="20"/>
        </w:rPr>
        <w:t xml:space="preserve">          </w:t>
      </w:r>
      <w:r w:rsidRPr="007A3400">
        <w:rPr>
          <w:color w:val="008080"/>
          <w:sz w:val="20"/>
          <w:szCs w:val="20"/>
        </w:rPr>
        <w:t xml:space="preserve">      </w:t>
      </w:r>
      <w:r w:rsidRPr="005343EC">
        <w:rPr>
          <w:sz w:val="18"/>
          <w:szCs w:val="18"/>
        </w:rPr>
        <w:t xml:space="preserve">Chief Executive:     </w:t>
      </w:r>
      <w:r w:rsidR="003266CE">
        <w:rPr>
          <w:sz w:val="18"/>
          <w:szCs w:val="18"/>
        </w:rPr>
        <w:t xml:space="preserve">    </w:t>
      </w:r>
      <w:r w:rsidRPr="005343EC">
        <w:rPr>
          <w:sz w:val="18"/>
          <w:szCs w:val="18"/>
        </w:rPr>
        <w:t xml:space="preserve"> </w:t>
      </w:r>
      <w:r w:rsidR="003266CE">
        <w:rPr>
          <w:sz w:val="18"/>
          <w:szCs w:val="18"/>
        </w:rPr>
        <w:t xml:space="preserve"> </w:t>
      </w:r>
      <w:r w:rsidRPr="005343EC">
        <w:rPr>
          <w:sz w:val="18"/>
          <w:szCs w:val="18"/>
        </w:rPr>
        <w:t xml:space="preserve">  Dr Julius Parker</w:t>
      </w:r>
    </w:p>
    <w:p w14:paraId="6EDE0ADC" w14:textId="5753885D" w:rsidR="005343EC" w:rsidRDefault="005343EC" w:rsidP="005343EC">
      <w:pPr>
        <w:jc w:val="both"/>
        <w:rPr>
          <w:rFonts w:asciiTheme="minorHAnsi" w:hAnsiTheme="minorHAnsi" w:cs="Arial"/>
          <w:sz w:val="24"/>
          <w:szCs w:val="24"/>
          <w:lang w:val="en-US"/>
        </w:rPr>
      </w:pPr>
    </w:p>
    <w:p w14:paraId="3AA34E19" w14:textId="25F7E7A8" w:rsidR="005343EC" w:rsidRDefault="005343EC" w:rsidP="005343EC">
      <w:pPr>
        <w:jc w:val="both"/>
        <w:rPr>
          <w:rFonts w:asciiTheme="minorHAnsi" w:hAnsiTheme="minorHAnsi" w:cs="Arial"/>
          <w:sz w:val="24"/>
          <w:szCs w:val="24"/>
          <w:lang w:val="en-US"/>
        </w:rPr>
      </w:pPr>
    </w:p>
    <w:p w14:paraId="409DAD9D" w14:textId="7C1A43D6" w:rsidR="005343EC" w:rsidRDefault="005343EC" w:rsidP="005343EC">
      <w:pPr>
        <w:jc w:val="both"/>
        <w:rPr>
          <w:rFonts w:asciiTheme="minorHAnsi" w:hAnsiTheme="minorHAnsi" w:cs="Arial"/>
          <w:sz w:val="24"/>
          <w:szCs w:val="24"/>
          <w:lang w:val="en-US"/>
        </w:rPr>
      </w:pPr>
    </w:p>
    <w:p w14:paraId="16A966D9" w14:textId="7BDB6147" w:rsidR="005343EC" w:rsidRDefault="005343EC" w:rsidP="005343EC">
      <w:pPr>
        <w:jc w:val="both"/>
        <w:rPr>
          <w:rFonts w:asciiTheme="minorHAnsi" w:hAnsiTheme="minorHAnsi" w:cs="Arial"/>
          <w:sz w:val="24"/>
          <w:szCs w:val="24"/>
          <w:lang w:val="en-US"/>
        </w:rPr>
      </w:pPr>
    </w:p>
    <w:p w14:paraId="2A2FE7D1" w14:textId="77777777" w:rsidR="005343EC" w:rsidRPr="005343EC" w:rsidRDefault="005343EC" w:rsidP="005343EC">
      <w:pPr>
        <w:jc w:val="both"/>
        <w:rPr>
          <w:rFonts w:asciiTheme="minorHAnsi" w:hAnsiTheme="minorHAnsi" w:cs="Arial"/>
          <w:sz w:val="24"/>
          <w:szCs w:val="24"/>
          <w:lang w:val="en-US"/>
        </w:rPr>
      </w:pPr>
    </w:p>
    <w:p w14:paraId="527D2D00" w14:textId="768732B4" w:rsidR="005343EC" w:rsidRDefault="005343EC" w:rsidP="005343EC">
      <w:pPr>
        <w:ind w:left="1133"/>
        <w:jc w:val="both"/>
        <w:rPr>
          <w:rFonts w:asciiTheme="minorHAnsi" w:hAnsiTheme="minorHAnsi" w:cs="Arial"/>
          <w:sz w:val="24"/>
          <w:szCs w:val="24"/>
          <w:lang w:val="en-US"/>
        </w:rPr>
      </w:pPr>
      <w:r w:rsidRPr="0020476F">
        <w:rPr>
          <w:rFonts w:asciiTheme="minorHAnsi" w:hAnsiTheme="minorHAnsi"/>
          <w:sz w:val="24"/>
          <w:szCs w:val="24"/>
        </w:rPr>
        <w:t xml:space="preserve">in the areas with the lowest MMR uptake historically. In the current outbreak situation, we would encourage practices to respond positively to such a request. </w:t>
      </w:r>
    </w:p>
    <w:p w14:paraId="27344845" w14:textId="77777777" w:rsidR="005343EC" w:rsidRPr="0020476F" w:rsidRDefault="005343EC" w:rsidP="005343EC">
      <w:pPr>
        <w:jc w:val="both"/>
        <w:rPr>
          <w:rFonts w:asciiTheme="minorHAnsi" w:hAnsiTheme="minorHAnsi" w:cs="Arial"/>
          <w:sz w:val="24"/>
          <w:szCs w:val="24"/>
          <w:lang w:val="en-US"/>
        </w:rPr>
      </w:pPr>
    </w:p>
    <w:p w14:paraId="1BC54ECB" w14:textId="77777777" w:rsidR="005343EC" w:rsidRPr="0020476F" w:rsidRDefault="005343EC" w:rsidP="005343EC">
      <w:pPr>
        <w:numPr>
          <w:ilvl w:val="0"/>
          <w:numId w:val="7"/>
        </w:numPr>
        <w:ind w:left="413"/>
        <w:jc w:val="both"/>
        <w:rPr>
          <w:rFonts w:asciiTheme="minorHAnsi" w:hAnsiTheme="minorHAnsi" w:cs="Arial"/>
          <w:sz w:val="24"/>
          <w:szCs w:val="24"/>
          <w:lang w:val="en-US"/>
        </w:rPr>
      </w:pPr>
      <w:r w:rsidRPr="0020476F">
        <w:rPr>
          <w:rFonts w:asciiTheme="minorHAnsi" w:hAnsiTheme="minorHAnsi" w:cs="Arial"/>
          <w:sz w:val="24"/>
          <w:szCs w:val="24"/>
          <w:lang w:val="en-US"/>
        </w:rPr>
        <w:t>Practice staff</w:t>
      </w:r>
    </w:p>
    <w:p w14:paraId="7B6C7F69" w14:textId="77777777" w:rsidR="005343EC" w:rsidRPr="0020476F" w:rsidRDefault="005343EC" w:rsidP="005343EC">
      <w:pPr>
        <w:ind w:firstLine="413"/>
        <w:jc w:val="both"/>
        <w:rPr>
          <w:rFonts w:asciiTheme="minorHAnsi" w:hAnsiTheme="minorHAnsi" w:cs="Arial"/>
          <w:sz w:val="24"/>
          <w:szCs w:val="24"/>
          <w:lang w:val="en-US"/>
        </w:rPr>
      </w:pPr>
    </w:p>
    <w:p w14:paraId="0C60CBCB" w14:textId="77777777" w:rsidR="005343EC" w:rsidRPr="0020476F" w:rsidRDefault="005343EC" w:rsidP="005343EC">
      <w:pPr>
        <w:numPr>
          <w:ilvl w:val="0"/>
          <w:numId w:val="8"/>
        </w:numPr>
        <w:ind w:left="1080"/>
        <w:jc w:val="both"/>
        <w:rPr>
          <w:rFonts w:asciiTheme="minorHAnsi" w:hAnsiTheme="minorHAnsi" w:cs="Arial"/>
          <w:sz w:val="24"/>
          <w:szCs w:val="24"/>
          <w:lang w:val="en-US"/>
        </w:rPr>
      </w:pPr>
      <w:r w:rsidRPr="0020476F">
        <w:rPr>
          <w:rFonts w:asciiTheme="minorHAnsi" w:hAnsiTheme="minorHAnsi" w:cs="Arial"/>
          <w:sz w:val="24"/>
          <w:szCs w:val="24"/>
          <w:lang w:val="en-US"/>
        </w:rPr>
        <w:t xml:space="preserve">PHE have asked that practice staff are appropriately </w:t>
      </w:r>
      <w:proofErr w:type="spellStart"/>
      <w:r w:rsidRPr="0020476F">
        <w:rPr>
          <w:rFonts w:asciiTheme="minorHAnsi" w:hAnsiTheme="minorHAnsi" w:cs="Arial"/>
          <w:sz w:val="24"/>
          <w:szCs w:val="24"/>
          <w:lang w:val="en-US"/>
        </w:rPr>
        <w:t>immunised</w:t>
      </w:r>
      <w:proofErr w:type="spellEnd"/>
      <w:r w:rsidRPr="0020476F">
        <w:rPr>
          <w:rFonts w:asciiTheme="minorHAnsi" w:hAnsiTheme="minorHAnsi" w:cs="Arial"/>
          <w:sz w:val="24"/>
          <w:szCs w:val="24"/>
          <w:lang w:val="en-US"/>
        </w:rPr>
        <w:t xml:space="preserve"> against measles to protect themselves and patients in the case of an outbreak. </w:t>
      </w:r>
    </w:p>
    <w:p w14:paraId="7876ECE8" w14:textId="77777777" w:rsidR="005343EC" w:rsidRPr="0020476F" w:rsidRDefault="005343EC" w:rsidP="005343EC">
      <w:pPr>
        <w:jc w:val="both"/>
        <w:rPr>
          <w:rFonts w:asciiTheme="minorHAnsi" w:hAnsiTheme="minorHAnsi" w:cs="Arial"/>
          <w:sz w:val="24"/>
          <w:szCs w:val="24"/>
          <w:lang w:val="en-US"/>
        </w:rPr>
      </w:pPr>
    </w:p>
    <w:p w14:paraId="056B6909" w14:textId="77777777" w:rsidR="005343EC" w:rsidRPr="0020476F" w:rsidRDefault="005343EC" w:rsidP="005343EC">
      <w:pPr>
        <w:numPr>
          <w:ilvl w:val="1"/>
          <w:numId w:val="9"/>
        </w:numPr>
        <w:ind w:left="1133"/>
        <w:jc w:val="both"/>
        <w:rPr>
          <w:rFonts w:asciiTheme="minorHAnsi" w:hAnsiTheme="minorHAnsi" w:cs="Arial"/>
          <w:sz w:val="24"/>
          <w:szCs w:val="24"/>
          <w:lang w:val="en-US"/>
        </w:rPr>
      </w:pPr>
      <w:r w:rsidRPr="0020476F">
        <w:rPr>
          <w:rFonts w:asciiTheme="minorHAnsi" w:hAnsiTheme="minorHAnsi" w:cs="Arial"/>
          <w:sz w:val="24"/>
          <w:szCs w:val="24"/>
          <w:lang w:val="en-US"/>
        </w:rPr>
        <w:t xml:space="preserve">There is a </w:t>
      </w:r>
      <w:hyperlink r:id="rId7" w:history="1">
        <w:r w:rsidRPr="0020476F">
          <w:rPr>
            <w:rStyle w:val="Hyperlink"/>
            <w:rFonts w:asciiTheme="minorHAnsi" w:hAnsiTheme="minorHAnsi" w:cs="Arial"/>
            <w:sz w:val="24"/>
            <w:szCs w:val="24"/>
            <w:lang w:val="en-US"/>
          </w:rPr>
          <w:t>CQC requirement</w:t>
        </w:r>
      </w:hyperlink>
      <w:r w:rsidRPr="0020476F">
        <w:rPr>
          <w:rFonts w:asciiTheme="minorHAnsi" w:hAnsiTheme="minorHAnsi" w:cs="Arial"/>
          <w:sz w:val="24"/>
          <w:szCs w:val="24"/>
          <w:lang w:val="en-US"/>
        </w:rPr>
        <w:t xml:space="preserve"> that practice staff involved in direct patient care, including receptionists, are up to date with their routine </w:t>
      </w:r>
      <w:proofErr w:type="spellStart"/>
      <w:r w:rsidRPr="0020476F">
        <w:rPr>
          <w:rFonts w:asciiTheme="minorHAnsi" w:hAnsiTheme="minorHAnsi" w:cs="Arial"/>
          <w:sz w:val="24"/>
          <w:szCs w:val="24"/>
          <w:lang w:val="en-US"/>
        </w:rPr>
        <w:t>immunisations</w:t>
      </w:r>
      <w:proofErr w:type="spellEnd"/>
      <w:r w:rsidRPr="0020476F">
        <w:rPr>
          <w:rFonts w:asciiTheme="minorHAnsi" w:hAnsiTheme="minorHAnsi" w:cs="Arial"/>
          <w:sz w:val="24"/>
          <w:szCs w:val="24"/>
          <w:lang w:val="en-US"/>
        </w:rPr>
        <w:t>, including MMR.</w:t>
      </w:r>
    </w:p>
    <w:p w14:paraId="04A92F5A" w14:textId="77777777" w:rsidR="005343EC" w:rsidRPr="0020476F" w:rsidRDefault="005343EC" w:rsidP="005343EC">
      <w:pPr>
        <w:pStyle w:val="ListParagraph"/>
        <w:ind w:left="413"/>
        <w:jc w:val="both"/>
        <w:rPr>
          <w:rFonts w:asciiTheme="minorHAnsi" w:hAnsiTheme="minorHAnsi" w:cs="Arial"/>
          <w:sz w:val="24"/>
          <w:szCs w:val="24"/>
          <w:lang w:val="en-US"/>
        </w:rPr>
      </w:pPr>
    </w:p>
    <w:p w14:paraId="698A4232" w14:textId="77777777" w:rsidR="005343EC" w:rsidRPr="0020476F" w:rsidRDefault="005343EC" w:rsidP="005343EC">
      <w:pPr>
        <w:numPr>
          <w:ilvl w:val="1"/>
          <w:numId w:val="10"/>
        </w:numPr>
        <w:ind w:left="1133"/>
        <w:jc w:val="both"/>
        <w:rPr>
          <w:rFonts w:asciiTheme="minorHAnsi" w:hAnsiTheme="minorHAnsi" w:cs="Arial"/>
          <w:sz w:val="24"/>
          <w:szCs w:val="24"/>
          <w:lang w:val="en-US"/>
        </w:rPr>
      </w:pPr>
      <w:r w:rsidRPr="0020476F">
        <w:rPr>
          <w:rFonts w:asciiTheme="minorHAnsi" w:hAnsiTheme="minorHAnsi" w:cs="Arial"/>
          <w:sz w:val="24"/>
          <w:szCs w:val="24"/>
          <w:lang w:val="en-US"/>
        </w:rPr>
        <w:t xml:space="preserve">The LMC believes it is </w:t>
      </w:r>
      <w:r w:rsidRPr="0020476F">
        <w:rPr>
          <w:rFonts w:asciiTheme="minorHAnsi" w:hAnsiTheme="minorHAnsi" w:cs="Arial"/>
          <w:b/>
          <w:bCs/>
          <w:sz w:val="24"/>
          <w:szCs w:val="24"/>
          <w:lang w:val="en-US"/>
        </w:rPr>
        <w:t>not</w:t>
      </w:r>
      <w:r w:rsidRPr="0020476F">
        <w:rPr>
          <w:rFonts w:asciiTheme="minorHAnsi" w:hAnsiTheme="minorHAnsi" w:cs="Arial"/>
          <w:sz w:val="24"/>
          <w:szCs w:val="24"/>
          <w:lang w:val="en-US"/>
        </w:rPr>
        <w:t xml:space="preserve"> appropriate for practices to be providing occupational health services for their own staff, as this represents a professional conflict between the doctor-patient and the employer-employee relationship. GP practice employees </w:t>
      </w:r>
      <w:r>
        <w:rPr>
          <w:rFonts w:asciiTheme="minorHAnsi" w:hAnsiTheme="minorHAnsi" w:cs="Arial"/>
          <w:sz w:val="24"/>
          <w:szCs w:val="24"/>
          <w:lang w:val="en-US"/>
        </w:rPr>
        <w:t xml:space="preserve">can </w:t>
      </w:r>
      <w:r w:rsidRPr="0020476F">
        <w:rPr>
          <w:rFonts w:asciiTheme="minorHAnsi" w:hAnsiTheme="minorHAnsi" w:cs="Arial"/>
          <w:sz w:val="24"/>
          <w:szCs w:val="24"/>
          <w:lang w:val="en-US"/>
        </w:rPr>
        <w:t xml:space="preserve">receive their occupational health services from external providers such as </w:t>
      </w:r>
      <w:proofErr w:type="spellStart"/>
      <w:r w:rsidRPr="0020476F">
        <w:rPr>
          <w:rFonts w:asciiTheme="minorHAnsi" w:hAnsiTheme="minorHAnsi" w:cs="Arial"/>
          <w:sz w:val="24"/>
          <w:szCs w:val="24"/>
          <w:lang w:val="en-US"/>
        </w:rPr>
        <w:t>Heales</w:t>
      </w:r>
      <w:proofErr w:type="spellEnd"/>
      <w:r w:rsidRPr="0020476F">
        <w:rPr>
          <w:rFonts w:asciiTheme="minorHAnsi" w:hAnsiTheme="minorHAnsi" w:cs="Arial"/>
          <w:sz w:val="24"/>
          <w:szCs w:val="24"/>
          <w:lang w:val="en-US"/>
        </w:rPr>
        <w:t xml:space="preserve"> Medical Group, </w:t>
      </w:r>
      <w:r>
        <w:rPr>
          <w:rFonts w:asciiTheme="minorHAnsi" w:hAnsiTheme="minorHAnsi" w:cs="Arial"/>
          <w:sz w:val="24"/>
          <w:szCs w:val="24"/>
          <w:lang w:val="en-US"/>
        </w:rPr>
        <w:t>but thus cost is</w:t>
      </w:r>
      <w:r w:rsidRPr="0020476F">
        <w:rPr>
          <w:rFonts w:asciiTheme="minorHAnsi" w:hAnsiTheme="minorHAnsi" w:cs="Arial"/>
          <w:sz w:val="24"/>
          <w:szCs w:val="24"/>
          <w:lang w:val="en-US"/>
        </w:rPr>
        <w:t xml:space="preserve"> borne to the practice except for salaried GPs, </w:t>
      </w:r>
      <w:r>
        <w:rPr>
          <w:rFonts w:asciiTheme="minorHAnsi" w:hAnsiTheme="minorHAnsi" w:cs="Arial"/>
          <w:sz w:val="24"/>
          <w:szCs w:val="24"/>
          <w:lang w:val="en-US"/>
        </w:rPr>
        <w:t>and the LMC does not recommend this</w:t>
      </w:r>
      <w:r w:rsidRPr="0020476F">
        <w:rPr>
          <w:rFonts w:asciiTheme="minorHAnsi" w:hAnsiTheme="minorHAnsi" w:cs="Arial"/>
          <w:sz w:val="24"/>
          <w:szCs w:val="24"/>
          <w:lang w:val="en-US"/>
        </w:rPr>
        <w:t xml:space="preserve"> service being provided ‘in-house’.</w:t>
      </w:r>
    </w:p>
    <w:p w14:paraId="781A6256" w14:textId="77777777" w:rsidR="005343EC" w:rsidRPr="0020476F" w:rsidRDefault="005343EC" w:rsidP="005343EC">
      <w:pPr>
        <w:jc w:val="both"/>
        <w:rPr>
          <w:rFonts w:asciiTheme="minorHAnsi" w:hAnsiTheme="minorHAnsi" w:cs="Arial"/>
          <w:sz w:val="24"/>
          <w:szCs w:val="24"/>
          <w:lang w:val="en-US"/>
        </w:rPr>
      </w:pPr>
    </w:p>
    <w:p w14:paraId="273B65D8" w14:textId="77777777" w:rsidR="005343EC" w:rsidRPr="0020476F" w:rsidRDefault="005343EC" w:rsidP="005343EC">
      <w:pPr>
        <w:numPr>
          <w:ilvl w:val="1"/>
          <w:numId w:val="11"/>
        </w:numPr>
        <w:ind w:left="1133"/>
        <w:jc w:val="both"/>
        <w:rPr>
          <w:rFonts w:asciiTheme="minorHAnsi" w:hAnsiTheme="minorHAnsi" w:cs="Arial"/>
          <w:sz w:val="24"/>
          <w:szCs w:val="24"/>
        </w:rPr>
      </w:pPr>
      <w:r w:rsidRPr="0020476F">
        <w:rPr>
          <w:rFonts w:asciiTheme="minorHAnsi" w:hAnsiTheme="minorHAnsi" w:cs="Arial"/>
          <w:sz w:val="24"/>
          <w:szCs w:val="24"/>
          <w:lang w:val="en-US"/>
        </w:rPr>
        <w:t xml:space="preserve">Therefore, the LMC advises practices to inform their staff who are unsure whether they have had 2 MMRs, to </w:t>
      </w:r>
      <w:r w:rsidRPr="0020476F">
        <w:rPr>
          <w:rFonts w:asciiTheme="minorHAnsi" w:hAnsiTheme="minorHAnsi" w:cs="Arial"/>
          <w:sz w:val="24"/>
          <w:szCs w:val="24"/>
        </w:rPr>
        <w:t xml:space="preserve">contact their own registered General Practice to find out their vaccination history. Practices should then follow the appropriate guidance in the </w:t>
      </w:r>
      <w:hyperlink r:id="rId8" w:history="1">
        <w:r w:rsidRPr="0020476F">
          <w:rPr>
            <w:rStyle w:val="Hyperlink"/>
            <w:rFonts w:asciiTheme="minorHAnsi" w:hAnsiTheme="minorHAnsi" w:cs="Arial"/>
            <w:sz w:val="24"/>
            <w:szCs w:val="24"/>
          </w:rPr>
          <w:t>Green Book</w:t>
        </w:r>
      </w:hyperlink>
      <w:r w:rsidRPr="0020476F">
        <w:rPr>
          <w:rFonts w:asciiTheme="minorHAnsi" w:hAnsiTheme="minorHAnsi" w:cs="Arial"/>
          <w:sz w:val="24"/>
          <w:szCs w:val="24"/>
        </w:rPr>
        <w:t xml:space="preserve"> for measles immunity and immunisation; there is no risk in giving additional doses to patients with an unknown immunisation status.</w:t>
      </w:r>
    </w:p>
    <w:p w14:paraId="2CBED8D3" w14:textId="77777777" w:rsidR="005343EC" w:rsidRPr="0020476F" w:rsidRDefault="005343EC" w:rsidP="005343EC">
      <w:pPr>
        <w:pStyle w:val="ListParagraph"/>
        <w:jc w:val="both"/>
        <w:rPr>
          <w:rFonts w:asciiTheme="minorHAnsi" w:hAnsiTheme="minorHAnsi" w:cs="Arial"/>
          <w:sz w:val="24"/>
          <w:szCs w:val="24"/>
          <w:lang w:eastAsia="en-US"/>
        </w:rPr>
      </w:pPr>
    </w:p>
    <w:p w14:paraId="3090E9D3" w14:textId="77777777" w:rsidR="005343EC" w:rsidRPr="0020476F" w:rsidRDefault="005343EC" w:rsidP="005343EC">
      <w:pPr>
        <w:numPr>
          <w:ilvl w:val="1"/>
          <w:numId w:val="12"/>
        </w:numPr>
        <w:ind w:left="1133"/>
        <w:jc w:val="both"/>
        <w:rPr>
          <w:rFonts w:asciiTheme="minorHAnsi" w:hAnsiTheme="minorHAnsi" w:cs="Arial"/>
          <w:sz w:val="24"/>
          <w:szCs w:val="24"/>
        </w:rPr>
      </w:pPr>
      <w:r w:rsidRPr="0020476F">
        <w:rPr>
          <w:rFonts w:asciiTheme="minorHAnsi" w:hAnsiTheme="minorHAnsi" w:cs="Arial"/>
          <w:sz w:val="24"/>
          <w:szCs w:val="24"/>
        </w:rPr>
        <w:t>We ask practices to be sympathetic to this and process these requests promptly; this will be quid pro quo, as all practices in an area will be affected. If practice staff are unimmunised and are exposed to suspected measles, they may be required to take time off work which could of course impact significantly on the delivery of primary medical services.</w:t>
      </w:r>
    </w:p>
    <w:p w14:paraId="42670EF5" w14:textId="77777777" w:rsidR="005343EC" w:rsidRPr="0020476F" w:rsidRDefault="005343EC" w:rsidP="005343EC">
      <w:pPr>
        <w:pStyle w:val="ListParagraph"/>
        <w:rPr>
          <w:rFonts w:asciiTheme="minorHAnsi" w:hAnsiTheme="minorHAnsi" w:cs="Arial"/>
          <w:sz w:val="24"/>
          <w:szCs w:val="24"/>
          <w:lang w:eastAsia="en-US"/>
        </w:rPr>
      </w:pPr>
    </w:p>
    <w:p w14:paraId="06B5958A" w14:textId="77777777" w:rsidR="005343EC" w:rsidRDefault="005343EC" w:rsidP="005343EC">
      <w:pPr>
        <w:ind w:left="413"/>
        <w:jc w:val="both"/>
        <w:rPr>
          <w:rFonts w:asciiTheme="minorHAnsi" w:hAnsiTheme="minorHAnsi" w:cs="Arial"/>
          <w:b/>
          <w:bCs/>
          <w:sz w:val="24"/>
          <w:szCs w:val="24"/>
        </w:rPr>
      </w:pPr>
      <w:r>
        <w:rPr>
          <w:rFonts w:asciiTheme="minorHAnsi" w:hAnsiTheme="minorHAnsi" w:cs="Arial"/>
          <w:b/>
          <w:bCs/>
          <w:sz w:val="24"/>
          <w:szCs w:val="24"/>
        </w:rPr>
        <w:t>Patients can be advised t is safe to have an MMR if you have already been immunised – but are unaware of this.</w:t>
      </w:r>
    </w:p>
    <w:p w14:paraId="7F367C03" w14:textId="77777777" w:rsidR="005343EC" w:rsidRDefault="005343EC" w:rsidP="005343EC">
      <w:pPr>
        <w:ind w:left="413"/>
        <w:jc w:val="both"/>
        <w:rPr>
          <w:rFonts w:asciiTheme="minorHAnsi" w:hAnsiTheme="minorHAnsi" w:cs="Arial"/>
          <w:b/>
          <w:bCs/>
          <w:sz w:val="24"/>
          <w:szCs w:val="24"/>
        </w:rPr>
      </w:pPr>
    </w:p>
    <w:p w14:paraId="684077B9" w14:textId="77777777" w:rsidR="005343EC" w:rsidRDefault="005343EC" w:rsidP="005343EC">
      <w:pPr>
        <w:ind w:left="413"/>
        <w:jc w:val="both"/>
        <w:rPr>
          <w:rFonts w:asciiTheme="minorHAnsi" w:hAnsiTheme="minorHAnsi" w:cs="Arial"/>
          <w:b/>
          <w:bCs/>
          <w:sz w:val="24"/>
          <w:szCs w:val="24"/>
        </w:rPr>
      </w:pPr>
      <w:r w:rsidRPr="0020476F">
        <w:rPr>
          <w:rFonts w:asciiTheme="minorHAnsi" w:hAnsiTheme="minorHAnsi" w:cs="Arial"/>
          <w:b/>
          <w:bCs/>
          <w:sz w:val="24"/>
          <w:szCs w:val="24"/>
        </w:rPr>
        <w:t xml:space="preserve">Practices can use supplies of the MMR vaccine from </w:t>
      </w:r>
      <w:proofErr w:type="spellStart"/>
      <w:r w:rsidRPr="0020476F">
        <w:rPr>
          <w:rFonts w:asciiTheme="minorHAnsi" w:hAnsiTheme="minorHAnsi" w:cs="Arial"/>
          <w:b/>
          <w:bCs/>
          <w:sz w:val="24"/>
          <w:szCs w:val="24"/>
        </w:rPr>
        <w:t>Immform</w:t>
      </w:r>
      <w:proofErr w:type="spellEnd"/>
      <w:r w:rsidRPr="0020476F">
        <w:rPr>
          <w:rFonts w:asciiTheme="minorHAnsi" w:hAnsiTheme="minorHAnsi" w:cs="Arial"/>
          <w:b/>
          <w:bCs/>
          <w:sz w:val="24"/>
          <w:szCs w:val="24"/>
        </w:rPr>
        <w:t xml:space="preserve"> to vaccinate adults and children as part of these programmes. We are not aware of any supply issues from the manufacturer.</w:t>
      </w:r>
    </w:p>
    <w:p w14:paraId="0C3DDF22" w14:textId="77777777" w:rsidR="005343EC" w:rsidRDefault="005343EC" w:rsidP="005343EC">
      <w:pPr>
        <w:ind w:left="413"/>
        <w:jc w:val="both"/>
        <w:rPr>
          <w:rFonts w:asciiTheme="minorHAnsi" w:hAnsiTheme="minorHAnsi" w:cs="Arial"/>
          <w:b/>
          <w:bCs/>
          <w:sz w:val="24"/>
          <w:szCs w:val="24"/>
        </w:rPr>
      </w:pPr>
    </w:p>
    <w:p w14:paraId="3CA5D68C" w14:textId="77777777" w:rsidR="005343EC" w:rsidRDefault="005343EC" w:rsidP="005343EC">
      <w:pPr>
        <w:ind w:left="413"/>
        <w:jc w:val="both"/>
        <w:rPr>
          <w:rFonts w:asciiTheme="minorHAnsi" w:hAnsiTheme="minorHAnsi" w:cs="Arial"/>
          <w:bCs/>
          <w:sz w:val="24"/>
          <w:szCs w:val="24"/>
        </w:rPr>
      </w:pPr>
      <w:r>
        <w:rPr>
          <w:rFonts w:asciiTheme="minorHAnsi" w:hAnsiTheme="minorHAnsi" w:cs="Arial"/>
          <w:bCs/>
          <w:sz w:val="24"/>
          <w:szCs w:val="24"/>
        </w:rPr>
        <w:t>Yours sincerely</w:t>
      </w:r>
    </w:p>
    <w:p w14:paraId="41247F5E" w14:textId="77777777" w:rsidR="005343EC" w:rsidRDefault="005343EC" w:rsidP="005343EC">
      <w:pPr>
        <w:ind w:left="413"/>
        <w:jc w:val="both"/>
        <w:rPr>
          <w:rFonts w:asciiTheme="minorHAnsi" w:hAnsiTheme="minorHAnsi" w:cs="Arial"/>
          <w:bCs/>
          <w:sz w:val="24"/>
          <w:szCs w:val="24"/>
        </w:rPr>
      </w:pPr>
      <w:r>
        <w:rPr>
          <w:noProof/>
          <w:lang w:eastAsia="en-GB"/>
        </w:rPr>
        <w:drawing>
          <wp:inline distT="0" distB="0" distL="0" distR="0" wp14:anchorId="4FFD0AA2" wp14:editId="398DCADC">
            <wp:extent cx="1280160" cy="6451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0160" cy="645160"/>
                    </a:xfrm>
                    <a:prstGeom prst="rect">
                      <a:avLst/>
                    </a:prstGeom>
                    <a:noFill/>
                  </pic:spPr>
                </pic:pic>
              </a:graphicData>
            </a:graphic>
          </wp:inline>
        </w:drawing>
      </w:r>
      <w:r>
        <w:rPr>
          <w:rFonts w:asciiTheme="minorHAnsi" w:hAnsiTheme="minorHAnsi" w:cs="Arial"/>
          <w:bCs/>
          <w:sz w:val="24"/>
          <w:szCs w:val="24"/>
        </w:rPr>
        <w:t xml:space="preserve">                                           </w:t>
      </w:r>
      <w:r w:rsidRPr="003F16CA">
        <w:rPr>
          <w:noProof/>
          <w:lang w:eastAsia="en-GB"/>
        </w:rPr>
        <w:drawing>
          <wp:inline distT="0" distB="0" distL="0" distR="0" wp14:anchorId="0FAC23E1" wp14:editId="59E92CED">
            <wp:extent cx="1097280" cy="9372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7280" cy="937260"/>
                    </a:xfrm>
                    <a:prstGeom prst="rect">
                      <a:avLst/>
                    </a:prstGeom>
                    <a:noFill/>
                    <a:ln>
                      <a:noFill/>
                    </a:ln>
                  </pic:spPr>
                </pic:pic>
              </a:graphicData>
            </a:graphic>
          </wp:inline>
        </w:drawing>
      </w:r>
    </w:p>
    <w:p w14:paraId="30371011" w14:textId="77777777" w:rsidR="005343EC" w:rsidRPr="0083399A" w:rsidRDefault="005343EC" w:rsidP="005343EC">
      <w:pPr>
        <w:ind w:left="413"/>
        <w:jc w:val="both"/>
        <w:rPr>
          <w:rFonts w:asciiTheme="minorHAnsi" w:hAnsiTheme="minorHAnsi" w:cs="Arial"/>
          <w:b/>
          <w:bCs/>
          <w:sz w:val="24"/>
          <w:szCs w:val="24"/>
        </w:rPr>
      </w:pPr>
      <w:r w:rsidRPr="0083399A">
        <w:rPr>
          <w:rFonts w:asciiTheme="minorHAnsi" w:hAnsiTheme="minorHAnsi" w:cs="Arial"/>
          <w:b/>
          <w:bCs/>
          <w:sz w:val="24"/>
          <w:szCs w:val="24"/>
        </w:rPr>
        <w:t>Dr Julius Parker</w:t>
      </w:r>
      <w:r>
        <w:rPr>
          <w:rFonts w:asciiTheme="minorHAnsi" w:hAnsiTheme="minorHAnsi" w:cs="Arial"/>
          <w:b/>
          <w:bCs/>
          <w:sz w:val="24"/>
          <w:szCs w:val="24"/>
        </w:rPr>
        <w:t xml:space="preserve">                                                               Dr Clare Sieber</w:t>
      </w:r>
    </w:p>
    <w:p w14:paraId="4B702AA0" w14:textId="77777777" w:rsidR="005343EC" w:rsidRPr="0083399A" w:rsidRDefault="005343EC" w:rsidP="005343EC">
      <w:pPr>
        <w:ind w:left="413"/>
        <w:jc w:val="both"/>
        <w:rPr>
          <w:rFonts w:asciiTheme="minorHAnsi" w:hAnsiTheme="minorHAnsi" w:cs="Arial"/>
          <w:bCs/>
          <w:sz w:val="24"/>
          <w:szCs w:val="24"/>
        </w:rPr>
      </w:pPr>
      <w:r>
        <w:rPr>
          <w:rFonts w:asciiTheme="minorHAnsi" w:hAnsiTheme="minorHAnsi" w:cs="Arial"/>
          <w:bCs/>
          <w:sz w:val="24"/>
          <w:szCs w:val="24"/>
        </w:rPr>
        <w:t>Chief Executive                                                                Medical Director</w:t>
      </w:r>
    </w:p>
    <w:p w14:paraId="29201CC9" w14:textId="77777777" w:rsidR="005343EC" w:rsidRPr="0020476F" w:rsidRDefault="005343EC" w:rsidP="005343EC">
      <w:pPr>
        <w:rPr>
          <w:rFonts w:asciiTheme="minorHAnsi" w:hAnsiTheme="minorHAnsi"/>
          <w:sz w:val="24"/>
          <w:szCs w:val="24"/>
        </w:rPr>
      </w:pPr>
    </w:p>
    <w:p w14:paraId="033B1F05" w14:textId="3BB11F06" w:rsidR="007A3400" w:rsidRPr="007A3400" w:rsidRDefault="007A3400" w:rsidP="005343EC">
      <w:pPr>
        <w:rPr>
          <w:color w:val="008080"/>
          <w:sz w:val="20"/>
          <w:szCs w:val="20"/>
        </w:rPr>
      </w:pPr>
      <w:r>
        <w:t xml:space="preserve"> </w:t>
      </w:r>
    </w:p>
    <w:sectPr w:rsidR="007A3400" w:rsidRPr="007A3400" w:rsidSect="007A3400">
      <w:pgSz w:w="11906" w:h="16838"/>
      <w:pgMar w:top="284"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liss 2 Light">
    <w:panose1 w:val="02000506030000020004"/>
    <w:charset w:val="00"/>
    <w:family w:val="modern"/>
    <w:notTrueType/>
    <w:pitch w:val="variable"/>
    <w:sig w:usb0="A00000AF" w:usb1="5000204B" w:usb2="00000000" w:usb3="00000000" w:csb0="0000009B"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C1C0E"/>
    <w:multiLevelType w:val="multilevel"/>
    <w:tmpl w:val="1D6055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986F34"/>
    <w:multiLevelType w:val="multilevel"/>
    <w:tmpl w:val="FF7E1FB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1AA56A7C"/>
    <w:multiLevelType w:val="multilevel"/>
    <w:tmpl w:val="B56EF10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20F5054B"/>
    <w:multiLevelType w:val="multilevel"/>
    <w:tmpl w:val="6B448B4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245C2968"/>
    <w:multiLevelType w:val="multilevel"/>
    <w:tmpl w:val="8092D35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2D345355"/>
    <w:multiLevelType w:val="multilevel"/>
    <w:tmpl w:val="4E78D2C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6" w15:restartNumberingAfterBreak="0">
    <w:nsid w:val="336C7C7F"/>
    <w:multiLevelType w:val="multilevel"/>
    <w:tmpl w:val="C5084DE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35332AF4"/>
    <w:multiLevelType w:val="multilevel"/>
    <w:tmpl w:val="195C576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35A83388"/>
    <w:multiLevelType w:val="multilevel"/>
    <w:tmpl w:val="4EB8570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 w15:restartNumberingAfterBreak="0">
    <w:nsid w:val="69C154A7"/>
    <w:multiLevelType w:val="multilevel"/>
    <w:tmpl w:val="C570F3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4A2414"/>
    <w:multiLevelType w:val="multilevel"/>
    <w:tmpl w:val="81F2C0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993F59"/>
    <w:multiLevelType w:val="multilevel"/>
    <w:tmpl w:val="D38C4A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0"/>
  </w:num>
  <w:num w:numId="4">
    <w:abstractNumId w:val="7"/>
  </w:num>
  <w:num w:numId="5">
    <w:abstractNumId w:val="6"/>
  </w:num>
  <w:num w:numId="6">
    <w:abstractNumId w:val="2"/>
  </w:num>
  <w:num w:numId="7">
    <w:abstractNumId w:val="11"/>
  </w:num>
  <w:num w:numId="8">
    <w:abstractNumId w:val="4"/>
  </w:num>
  <w:num w:numId="9">
    <w:abstractNumId w:val="8"/>
  </w:num>
  <w:num w:numId="10">
    <w:abstractNumId w:val="1"/>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9CF"/>
    <w:rsid w:val="000F34F5"/>
    <w:rsid w:val="00274474"/>
    <w:rsid w:val="003266CE"/>
    <w:rsid w:val="003A4795"/>
    <w:rsid w:val="005343EC"/>
    <w:rsid w:val="006802DB"/>
    <w:rsid w:val="007A3400"/>
    <w:rsid w:val="008B7D7A"/>
    <w:rsid w:val="00B601B5"/>
    <w:rsid w:val="00D919CF"/>
    <w:rsid w:val="00E14AD4"/>
    <w:rsid w:val="00EF0E0C"/>
    <w:rsid w:val="00F47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B70D5"/>
  <w15:chartTrackingRefBased/>
  <w15:docId w15:val="{3B269482-C980-4583-AF8B-C66610F6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liss 2 Light" w:eastAsiaTheme="minorHAnsi" w:hAnsi="Bliss 2 Light" w:cstheme="minorBidi"/>
        <w:sz w:val="24"/>
        <w:szCs w:val="24"/>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9CF"/>
    <w:pPr>
      <w:spacing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19CF"/>
    <w:rPr>
      <w:color w:val="0563C1"/>
      <w:u w:val="single"/>
    </w:rPr>
  </w:style>
  <w:style w:type="character" w:styleId="FollowedHyperlink">
    <w:name w:val="FollowedHyperlink"/>
    <w:basedOn w:val="DefaultParagraphFont"/>
    <w:uiPriority w:val="99"/>
    <w:semiHidden/>
    <w:unhideWhenUsed/>
    <w:rsid w:val="00D919CF"/>
    <w:rPr>
      <w:color w:val="954F72" w:themeColor="followedHyperlink"/>
      <w:u w:val="single"/>
    </w:rPr>
  </w:style>
  <w:style w:type="paragraph" w:styleId="BalloonText">
    <w:name w:val="Balloon Text"/>
    <w:basedOn w:val="Normal"/>
    <w:link w:val="BalloonTextChar"/>
    <w:uiPriority w:val="99"/>
    <w:semiHidden/>
    <w:unhideWhenUsed/>
    <w:rsid w:val="002744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474"/>
    <w:rPr>
      <w:rFonts w:ascii="Segoe UI" w:hAnsi="Segoe UI" w:cs="Segoe UI"/>
      <w:sz w:val="18"/>
      <w:szCs w:val="18"/>
    </w:rPr>
  </w:style>
  <w:style w:type="paragraph" w:styleId="ListParagraph">
    <w:name w:val="List Paragraph"/>
    <w:basedOn w:val="Normal"/>
    <w:uiPriority w:val="34"/>
    <w:qFormat/>
    <w:rsid w:val="005343EC"/>
    <w:pPr>
      <w:ind w:left="720"/>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2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47968/Green-Book-Chapter-21-v2_0.pdf" TargetMode="External"/><Relationship Id="rId3" Type="http://schemas.openxmlformats.org/officeDocument/2006/relationships/settings" Target="settings.xml"/><Relationship Id="rId7" Type="http://schemas.openxmlformats.org/officeDocument/2006/relationships/hyperlink" Target="http://www.cqc.org.uk/guidance-providers/gps/nigels-surgery-37-immunisation-healthcare-staf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gital.nhs.uk/GP-Collections/service-information/MMR-aged-16-and-over-vaccination-programme"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Forster</dc:creator>
  <cp:keywords/>
  <dc:description/>
  <cp:lastModifiedBy>Sandra Rodbourne</cp:lastModifiedBy>
  <cp:revision>2</cp:revision>
  <cp:lastPrinted>2018-04-12T15:19:00Z</cp:lastPrinted>
  <dcterms:created xsi:type="dcterms:W3CDTF">2018-04-24T14:35:00Z</dcterms:created>
  <dcterms:modified xsi:type="dcterms:W3CDTF">2018-04-24T14:35:00Z</dcterms:modified>
</cp:coreProperties>
</file>