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75E" w:rsidRDefault="00B8175E" w:rsidP="00C3468E">
      <w:pPr>
        <w:pStyle w:val="Default"/>
        <w:jc w:val="center"/>
        <w:rPr>
          <w:b/>
          <w:bCs/>
          <w:sz w:val="36"/>
          <w:szCs w:val="36"/>
        </w:rPr>
      </w:pPr>
      <w:bookmarkStart w:id="0" w:name="_GoBack"/>
      <w:bookmarkEnd w:id="0"/>
      <w:r>
        <w:rPr>
          <w:b/>
          <w:bCs/>
          <w:sz w:val="36"/>
          <w:szCs w:val="36"/>
        </w:rPr>
        <w:t>DRAFT</w:t>
      </w:r>
    </w:p>
    <w:p w:rsidR="00C44A8E" w:rsidRPr="00B8175E" w:rsidRDefault="00B8175E" w:rsidP="00C3468E">
      <w:pPr>
        <w:pStyle w:val="Default"/>
        <w:jc w:val="center"/>
        <w:rPr>
          <w:b/>
          <w:bCs/>
          <w:sz w:val="32"/>
          <w:szCs w:val="32"/>
        </w:rPr>
      </w:pPr>
      <w:r w:rsidRPr="00B8175E">
        <w:rPr>
          <w:b/>
          <w:bCs/>
          <w:sz w:val="32"/>
          <w:szCs w:val="32"/>
        </w:rPr>
        <w:t>Management of Localised Community Outbreaks of I</w:t>
      </w:r>
      <w:r w:rsidR="008E6A2F" w:rsidRPr="00B8175E">
        <w:rPr>
          <w:b/>
          <w:bCs/>
          <w:sz w:val="32"/>
          <w:szCs w:val="32"/>
        </w:rPr>
        <w:t xml:space="preserve">nfluenza </w:t>
      </w:r>
    </w:p>
    <w:p w:rsidR="00B8175E" w:rsidRPr="00B8175E" w:rsidRDefault="00B8175E" w:rsidP="00C3468E">
      <w:pPr>
        <w:pStyle w:val="Default"/>
        <w:jc w:val="center"/>
        <w:rPr>
          <w:b/>
          <w:bCs/>
          <w:i/>
          <w:sz w:val="32"/>
          <w:szCs w:val="32"/>
        </w:rPr>
      </w:pPr>
      <w:r w:rsidRPr="00B8175E">
        <w:rPr>
          <w:b/>
          <w:bCs/>
          <w:i/>
          <w:sz w:val="32"/>
          <w:szCs w:val="32"/>
        </w:rPr>
        <w:t>1</w:t>
      </w:r>
      <w:r w:rsidRPr="00B8175E">
        <w:rPr>
          <w:b/>
          <w:bCs/>
          <w:i/>
          <w:sz w:val="32"/>
          <w:szCs w:val="32"/>
          <w:vertAlign w:val="superscript"/>
        </w:rPr>
        <w:t>st</w:t>
      </w:r>
      <w:r w:rsidRPr="00B8175E">
        <w:rPr>
          <w:b/>
          <w:bCs/>
          <w:i/>
          <w:sz w:val="32"/>
          <w:szCs w:val="32"/>
        </w:rPr>
        <w:t xml:space="preserve"> October 2017 – 30</w:t>
      </w:r>
      <w:r w:rsidRPr="00B8175E">
        <w:rPr>
          <w:b/>
          <w:bCs/>
          <w:i/>
          <w:sz w:val="32"/>
          <w:szCs w:val="32"/>
          <w:vertAlign w:val="superscript"/>
        </w:rPr>
        <w:t>th</w:t>
      </w:r>
      <w:r w:rsidRPr="00B8175E">
        <w:rPr>
          <w:b/>
          <w:bCs/>
          <w:i/>
          <w:sz w:val="32"/>
          <w:szCs w:val="32"/>
        </w:rPr>
        <w:t xml:space="preserve"> September 2018</w:t>
      </w:r>
    </w:p>
    <w:p w:rsidR="00A351C8" w:rsidRPr="0030083D" w:rsidRDefault="00A351C8" w:rsidP="00C44A8E">
      <w:pPr>
        <w:pStyle w:val="Default"/>
      </w:pPr>
    </w:p>
    <w:p w:rsidR="00A351C8" w:rsidRPr="00C3468E" w:rsidRDefault="00190F88" w:rsidP="00A351C8">
      <w:pPr>
        <w:pStyle w:val="Default"/>
        <w:numPr>
          <w:ilvl w:val="0"/>
          <w:numId w:val="6"/>
        </w:numPr>
        <w:rPr>
          <w:b/>
          <w:bCs/>
          <w:sz w:val="36"/>
          <w:szCs w:val="36"/>
        </w:rPr>
      </w:pPr>
      <w:r>
        <w:rPr>
          <w:b/>
          <w:bCs/>
          <w:sz w:val="36"/>
          <w:szCs w:val="36"/>
        </w:rPr>
        <w:t>B</w:t>
      </w:r>
      <w:r w:rsidR="00A351C8" w:rsidRPr="00C3468E">
        <w:rPr>
          <w:b/>
          <w:bCs/>
          <w:sz w:val="36"/>
          <w:szCs w:val="36"/>
        </w:rPr>
        <w:t xml:space="preserve">ackground </w:t>
      </w:r>
    </w:p>
    <w:p w:rsidR="00A351C8" w:rsidRPr="00A351C8" w:rsidRDefault="00A351C8" w:rsidP="00A351C8">
      <w:pPr>
        <w:pStyle w:val="Default"/>
        <w:ind w:left="360"/>
        <w:rPr>
          <w:b/>
          <w:bCs/>
          <w:sz w:val="28"/>
          <w:szCs w:val="28"/>
        </w:rPr>
      </w:pPr>
    </w:p>
    <w:p w:rsidR="007B1C65" w:rsidRDefault="007B0FAC" w:rsidP="007B1C65">
      <w:pPr>
        <w:pStyle w:val="Default"/>
        <w:rPr>
          <w:sz w:val="22"/>
          <w:szCs w:val="22"/>
        </w:rPr>
      </w:pPr>
      <w:r>
        <w:rPr>
          <w:sz w:val="22"/>
          <w:szCs w:val="22"/>
        </w:rPr>
        <w:t>O</w:t>
      </w:r>
      <w:r w:rsidR="00A351C8" w:rsidRPr="00D172DB">
        <w:rPr>
          <w:sz w:val="22"/>
          <w:szCs w:val="22"/>
        </w:rPr>
        <w:t>lder people, pregnant women and those with underlying diseases are at particular risk of</w:t>
      </w:r>
      <w:r>
        <w:rPr>
          <w:sz w:val="22"/>
          <w:szCs w:val="22"/>
        </w:rPr>
        <w:t xml:space="preserve"> severe illness if they catch influenza</w:t>
      </w:r>
      <w:r w:rsidR="00A351C8" w:rsidRPr="00D172DB">
        <w:rPr>
          <w:sz w:val="22"/>
          <w:szCs w:val="22"/>
        </w:rPr>
        <w:t xml:space="preserve">. </w:t>
      </w:r>
      <w:r w:rsidR="008E6A2F">
        <w:rPr>
          <w:sz w:val="22"/>
          <w:szCs w:val="22"/>
        </w:rPr>
        <w:t>NICE TAG on the use of neuraminidase inhibitors such as oseltamivir and zanamivir (“antivirals”) recommends that these medicines are used in such situations</w:t>
      </w:r>
      <w:r w:rsidR="007B1C65">
        <w:rPr>
          <w:sz w:val="22"/>
          <w:szCs w:val="22"/>
        </w:rPr>
        <w:t xml:space="preserve">. </w:t>
      </w:r>
      <w:r w:rsidR="00F752DF">
        <w:rPr>
          <w:sz w:val="22"/>
          <w:szCs w:val="22"/>
        </w:rPr>
        <w:t xml:space="preserve">XXXXXXXXXXXX </w:t>
      </w:r>
      <w:r w:rsidR="007B1C65">
        <w:rPr>
          <w:sz w:val="22"/>
          <w:szCs w:val="22"/>
        </w:rPr>
        <w:t xml:space="preserve">CCG has therefore commissioned this service to meet the need to respond to localised outbreaks </w:t>
      </w:r>
    </w:p>
    <w:p w:rsidR="00190F88" w:rsidRDefault="00190F88" w:rsidP="007B1C65">
      <w:pPr>
        <w:pStyle w:val="Default"/>
        <w:rPr>
          <w:sz w:val="22"/>
          <w:szCs w:val="22"/>
        </w:rPr>
      </w:pPr>
    </w:p>
    <w:p w:rsidR="00A351C8" w:rsidRPr="00C3468E" w:rsidRDefault="00A351C8" w:rsidP="00A351C8">
      <w:pPr>
        <w:pStyle w:val="Default"/>
        <w:rPr>
          <w:sz w:val="36"/>
          <w:szCs w:val="36"/>
        </w:rPr>
      </w:pPr>
      <w:r w:rsidRPr="00C3468E">
        <w:rPr>
          <w:b/>
          <w:bCs/>
          <w:sz w:val="36"/>
          <w:szCs w:val="36"/>
        </w:rPr>
        <w:t xml:space="preserve">2. Aims and intended service outcomes </w:t>
      </w:r>
    </w:p>
    <w:p w:rsidR="00A351C8" w:rsidRDefault="00A351C8" w:rsidP="00A351C8">
      <w:pPr>
        <w:pStyle w:val="Default"/>
        <w:rPr>
          <w:sz w:val="23"/>
          <w:szCs w:val="23"/>
        </w:rPr>
      </w:pPr>
    </w:p>
    <w:p w:rsidR="00190F88" w:rsidRDefault="00190F88" w:rsidP="00190F88">
      <w:pPr>
        <w:pStyle w:val="Default"/>
        <w:rPr>
          <w:sz w:val="22"/>
          <w:szCs w:val="22"/>
        </w:rPr>
      </w:pPr>
      <w:r>
        <w:rPr>
          <w:sz w:val="22"/>
          <w:szCs w:val="22"/>
        </w:rPr>
        <w:t>Local Public Health England Centre Health Protection Teams (PHE Centre HPTs) routinely receive reports of such outbreaks, assess these and, if indicated, recommend the use of antivirals for exposed persons in at-risk groups.  This service ensures that appropriate primary care clinicians will respond to such outbreaks in community settings (e.g. care homes, residential schools</w:t>
      </w:r>
      <w:r w:rsidR="009A36A2">
        <w:rPr>
          <w:sz w:val="22"/>
          <w:szCs w:val="22"/>
        </w:rPr>
        <w:t xml:space="preserve"> for disabled children/young people</w:t>
      </w:r>
      <w:r>
        <w:rPr>
          <w:sz w:val="22"/>
          <w:szCs w:val="22"/>
        </w:rPr>
        <w:t xml:space="preserve"> etc.) by assessing exposed persons for the antiviral treatment or prophylaxis. </w:t>
      </w:r>
    </w:p>
    <w:p w:rsidR="00A351C8" w:rsidRDefault="00A351C8" w:rsidP="0030083D">
      <w:pPr>
        <w:pStyle w:val="Default"/>
        <w:ind w:left="284" w:hanging="284"/>
        <w:rPr>
          <w:sz w:val="23"/>
          <w:szCs w:val="23"/>
        </w:rPr>
      </w:pPr>
    </w:p>
    <w:p w:rsidR="00A351C8" w:rsidRDefault="00A351C8" w:rsidP="00C44A8E">
      <w:pPr>
        <w:pStyle w:val="Default"/>
        <w:rPr>
          <w:sz w:val="23"/>
          <w:szCs w:val="23"/>
        </w:rPr>
      </w:pPr>
      <w:r>
        <w:rPr>
          <w:b/>
          <w:bCs/>
          <w:sz w:val="36"/>
          <w:szCs w:val="36"/>
        </w:rPr>
        <w:t xml:space="preserve">3. </w:t>
      </w:r>
      <w:r w:rsidRPr="00A351C8">
        <w:rPr>
          <w:b/>
          <w:bCs/>
          <w:sz w:val="36"/>
          <w:szCs w:val="36"/>
        </w:rPr>
        <w:t>Service specification</w:t>
      </w:r>
    </w:p>
    <w:p w:rsidR="00A351C8" w:rsidRDefault="00A351C8" w:rsidP="00C44A8E">
      <w:pPr>
        <w:pStyle w:val="Default"/>
        <w:rPr>
          <w:sz w:val="23"/>
          <w:szCs w:val="23"/>
        </w:rPr>
      </w:pPr>
    </w:p>
    <w:p w:rsidR="00C44A8E" w:rsidRPr="00D172DB" w:rsidRDefault="00C44A8E" w:rsidP="00C44A8E">
      <w:pPr>
        <w:pStyle w:val="Default"/>
        <w:rPr>
          <w:sz w:val="22"/>
          <w:szCs w:val="22"/>
        </w:rPr>
      </w:pPr>
      <w:r w:rsidRPr="00D172DB">
        <w:rPr>
          <w:b/>
          <w:sz w:val="22"/>
          <w:szCs w:val="22"/>
        </w:rPr>
        <w:t>3.1</w:t>
      </w:r>
      <w:r w:rsidRPr="00D172DB">
        <w:rPr>
          <w:sz w:val="22"/>
          <w:szCs w:val="22"/>
        </w:rPr>
        <w:t xml:space="preserve"> </w:t>
      </w:r>
      <w:r w:rsidR="00F752DF">
        <w:rPr>
          <w:sz w:val="22"/>
          <w:szCs w:val="22"/>
        </w:rPr>
        <w:t xml:space="preserve"> XXXXXX </w:t>
      </w:r>
      <w:r w:rsidR="00190F88">
        <w:rPr>
          <w:sz w:val="22"/>
          <w:szCs w:val="22"/>
        </w:rPr>
        <w:t>CCG</w:t>
      </w:r>
      <w:r w:rsidRPr="00D172DB">
        <w:rPr>
          <w:sz w:val="22"/>
          <w:szCs w:val="22"/>
        </w:rPr>
        <w:t xml:space="preserve"> </w:t>
      </w:r>
      <w:r w:rsidR="00190F88">
        <w:rPr>
          <w:sz w:val="22"/>
          <w:szCs w:val="22"/>
        </w:rPr>
        <w:t xml:space="preserve">will be notified by PHE Centre HPT of </w:t>
      </w:r>
      <w:r w:rsidR="009A36A2">
        <w:rPr>
          <w:sz w:val="22"/>
          <w:szCs w:val="22"/>
        </w:rPr>
        <w:t>an outbreak.</w:t>
      </w:r>
    </w:p>
    <w:p w:rsidR="00C44A8E" w:rsidRPr="00D172DB" w:rsidRDefault="00C44A8E" w:rsidP="00C44A8E">
      <w:pPr>
        <w:pStyle w:val="Default"/>
        <w:rPr>
          <w:sz w:val="22"/>
          <w:szCs w:val="22"/>
        </w:rPr>
      </w:pPr>
    </w:p>
    <w:p w:rsidR="00C44A8E" w:rsidRPr="00D172DB" w:rsidRDefault="00C44A8E" w:rsidP="00C44A8E">
      <w:pPr>
        <w:pStyle w:val="Default"/>
        <w:rPr>
          <w:sz w:val="22"/>
          <w:szCs w:val="22"/>
        </w:rPr>
      </w:pPr>
      <w:r w:rsidRPr="00D172DB">
        <w:rPr>
          <w:b/>
          <w:sz w:val="22"/>
          <w:szCs w:val="22"/>
        </w:rPr>
        <w:t>3.2</w:t>
      </w:r>
      <w:r w:rsidRPr="00D172DB">
        <w:rPr>
          <w:sz w:val="22"/>
          <w:szCs w:val="22"/>
        </w:rPr>
        <w:t xml:space="preserve"> </w:t>
      </w:r>
      <w:r w:rsidR="00F752DF">
        <w:rPr>
          <w:sz w:val="22"/>
          <w:szCs w:val="22"/>
        </w:rPr>
        <w:t xml:space="preserve"> XXXXXX </w:t>
      </w:r>
      <w:r w:rsidR="00230DCB">
        <w:rPr>
          <w:sz w:val="22"/>
          <w:szCs w:val="22"/>
        </w:rPr>
        <w:t>CCG will contact the Provider advising them of</w:t>
      </w:r>
      <w:r w:rsidRPr="00D172DB">
        <w:rPr>
          <w:sz w:val="22"/>
          <w:szCs w:val="22"/>
        </w:rPr>
        <w:t xml:space="preserve"> </w:t>
      </w:r>
      <w:r w:rsidR="009A36A2">
        <w:rPr>
          <w:sz w:val="22"/>
          <w:szCs w:val="22"/>
        </w:rPr>
        <w:t>the location</w:t>
      </w:r>
      <w:r w:rsidR="00B8175E">
        <w:rPr>
          <w:sz w:val="22"/>
          <w:szCs w:val="22"/>
        </w:rPr>
        <w:t xml:space="preserve"> of the outbreak</w:t>
      </w:r>
      <w:r w:rsidR="009A36A2">
        <w:rPr>
          <w:sz w:val="22"/>
          <w:szCs w:val="22"/>
        </w:rPr>
        <w:t xml:space="preserve">, a named contact within the affected institution and the approximate number of individuals that </w:t>
      </w:r>
      <w:r w:rsidR="00B8175E">
        <w:rPr>
          <w:sz w:val="22"/>
          <w:szCs w:val="22"/>
        </w:rPr>
        <w:t xml:space="preserve">may </w:t>
      </w:r>
      <w:r w:rsidR="009A36A2">
        <w:rPr>
          <w:sz w:val="22"/>
          <w:szCs w:val="22"/>
        </w:rPr>
        <w:t>need to be assessed for antivirals.</w:t>
      </w:r>
    </w:p>
    <w:p w:rsidR="00C44A8E" w:rsidRPr="00D172DB" w:rsidRDefault="00C44A8E" w:rsidP="00C44A8E">
      <w:pPr>
        <w:pStyle w:val="Default"/>
        <w:rPr>
          <w:sz w:val="22"/>
          <w:szCs w:val="22"/>
        </w:rPr>
      </w:pPr>
    </w:p>
    <w:p w:rsidR="00C44A8E" w:rsidRPr="00D172DB" w:rsidRDefault="00C44A8E" w:rsidP="00C44A8E">
      <w:pPr>
        <w:pStyle w:val="Default"/>
        <w:rPr>
          <w:sz w:val="22"/>
          <w:szCs w:val="22"/>
        </w:rPr>
      </w:pPr>
      <w:r w:rsidRPr="00D172DB">
        <w:rPr>
          <w:b/>
          <w:sz w:val="22"/>
          <w:szCs w:val="22"/>
        </w:rPr>
        <w:t>3.3</w:t>
      </w:r>
      <w:r w:rsidRPr="00D172DB">
        <w:rPr>
          <w:sz w:val="22"/>
          <w:szCs w:val="22"/>
        </w:rPr>
        <w:t xml:space="preserve"> </w:t>
      </w:r>
      <w:r w:rsidR="009A36A2">
        <w:rPr>
          <w:sz w:val="22"/>
          <w:szCs w:val="22"/>
        </w:rPr>
        <w:t xml:space="preserve">An appropriately-qualified clinician </w:t>
      </w:r>
      <w:r w:rsidRPr="00D172DB">
        <w:rPr>
          <w:sz w:val="22"/>
          <w:szCs w:val="22"/>
        </w:rPr>
        <w:t xml:space="preserve"> </w:t>
      </w:r>
      <w:r w:rsidR="009A36A2">
        <w:rPr>
          <w:sz w:val="22"/>
          <w:szCs w:val="22"/>
        </w:rPr>
        <w:t xml:space="preserve">(GP or Advanced Nurse Practitioner) </w:t>
      </w:r>
      <w:r w:rsidR="00B8175E">
        <w:rPr>
          <w:sz w:val="22"/>
          <w:szCs w:val="22"/>
        </w:rPr>
        <w:t xml:space="preserve">(“the Clinician”) </w:t>
      </w:r>
      <w:r w:rsidR="009A36A2">
        <w:rPr>
          <w:sz w:val="22"/>
          <w:szCs w:val="22"/>
        </w:rPr>
        <w:t>will contact the named contact at the affected institution and request details of the individuals requiring assessment</w:t>
      </w:r>
      <w:r w:rsidR="00352F1A">
        <w:rPr>
          <w:sz w:val="22"/>
          <w:szCs w:val="22"/>
        </w:rPr>
        <w:t>.</w:t>
      </w:r>
    </w:p>
    <w:p w:rsidR="00C44A8E" w:rsidRPr="00D172DB" w:rsidRDefault="00C44A8E" w:rsidP="00C44A8E">
      <w:pPr>
        <w:pStyle w:val="Default"/>
        <w:rPr>
          <w:sz w:val="22"/>
          <w:szCs w:val="22"/>
        </w:rPr>
      </w:pPr>
    </w:p>
    <w:p w:rsidR="003D4AB3" w:rsidRDefault="00C44A8E" w:rsidP="003D4AB3">
      <w:r w:rsidRPr="00D172DB">
        <w:rPr>
          <w:b/>
        </w:rPr>
        <w:t>3.4</w:t>
      </w:r>
      <w:r w:rsidRPr="00D172DB">
        <w:t xml:space="preserve"> </w:t>
      </w:r>
      <w:r w:rsidR="002451C1">
        <w:t>The clinician will review the</w:t>
      </w:r>
      <w:r w:rsidR="00F752DF">
        <w:t xml:space="preserve"> medical health</w:t>
      </w:r>
      <w:r w:rsidR="002451C1">
        <w:t xml:space="preserve"> records of all affected individuals</w:t>
      </w:r>
      <w:r w:rsidR="000A254F">
        <w:t xml:space="preserve"> to ensure that they are suitable for receiving the antiviral</w:t>
      </w:r>
      <w:r w:rsidR="000A254F" w:rsidRPr="001F1CEA">
        <w:rPr>
          <w:i/>
          <w:color w:val="FF0000"/>
        </w:rPr>
        <w:t>.</w:t>
      </w:r>
      <w:r w:rsidR="003D4AB3" w:rsidRPr="003D4AB3">
        <w:rPr>
          <w:color w:val="1F497D"/>
        </w:rPr>
        <w:t xml:space="preserve"> </w:t>
      </w:r>
      <w:r w:rsidR="003D4AB3" w:rsidRPr="003D4AB3">
        <w:t>Guidance on prescribing of antivirals for flu, including dosing for both treatment and post-exposure prophylaxis and dosing in renal impairment  can be found at</w:t>
      </w:r>
      <w:r w:rsidR="00E97344">
        <w:t>:</w:t>
      </w:r>
    </w:p>
    <w:p w:rsidR="003D4AB3" w:rsidRDefault="003D4AB3" w:rsidP="003D4AB3"/>
    <w:p w:rsidR="003D4AB3" w:rsidRDefault="00DD00A4" w:rsidP="003D4AB3">
      <w:pPr>
        <w:rPr>
          <w:color w:val="1F497D"/>
        </w:rPr>
      </w:pPr>
      <w:hyperlink r:id="rId8" w:history="1">
        <w:r w:rsidR="003D4AB3">
          <w:rPr>
            <w:rStyle w:val="Hyperlink"/>
          </w:rPr>
          <w:t>https://www.gov.uk/government/publications/influenza-treatment-and-prophylaxis-using-anti-viral-agents</w:t>
        </w:r>
      </w:hyperlink>
      <w:r w:rsidR="003D4AB3">
        <w:rPr>
          <w:color w:val="1F497D"/>
        </w:rPr>
        <w:t xml:space="preserve"> </w:t>
      </w:r>
      <w:r w:rsidR="003D4AB3" w:rsidRPr="003D4AB3">
        <w:rPr>
          <w:i/>
          <w:color w:val="1F497D"/>
        </w:rPr>
        <w:t>(last updated Sept 2017)</w:t>
      </w:r>
    </w:p>
    <w:p w:rsidR="007357DC" w:rsidRPr="003D4AB3" w:rsidRDefault="007357DC" w:rsidP="0091313A">
      <w:pPr>
        <w:pStyle w:val="Default"/>
        <w:rPr>
          <w:color w:val="auto"/>
          <w:sz w:val="22"/>
          <w:szCs w:val="22"/>
        </w:rPr>
      </w:pPr>
    </w:p>
    <w:p w:rsidR="002451C1" w:rsidRPr="00323AC4" w:rsidRDefault="00F752DF" w:rsidP="0091313A">
      <w:pPr>
        <w:pStyle w:val="Default"/>
        <w:rPr>
          <w:b/>
          <w:i/>
          <w:color w:val="auto"/>
          <w:sz w:val="22"/>
          <w:szCs w:val="22"/>
        </w:rPr>
      </w:pPr>
      <w:r w:rsidRPr="00230DCB">
        <w:rPr>
          <w:b/>
          <w:sz w:val="22"/>
          <w:szCs w:val="22"/>
        </w:rPr>
        <w:t>3.5</w:t>
      </w:r>
      <w:r>
        <w:rPr>
          <w:sz w:val="22"/>
          <w:szCs w:val="22"/>
        </w:rPr>
        <w:t xml:space="preserve"> Unused</w:t>
      </w:r>
    </w:p>
    <w:p w:rsidR="002451C1" w:rsidRDefault="002451C1" w:rsidP="0091313A">
      <w:pPr>
        <w:pStyle w:val="Default"/>
        <w:rPr>
          <w:sz w:val="22"/>
          <w:szCs w:val="22"/>
        </w:rPr>
      </w:pPr>
    </w:p>
    <w:p w:rsidR="002451C1" w:rsidRPr="002451C1" w:rsidRDefault="00F752DF" w:rsidP="0091313A">
      <w:pPr>
        <w:pStyle w:val="Default"/>
        <w:rPr>
          <w:sz w:val="22"/>
          <w:szCs w:val="22"/>
        </w:rPr>
      </w:pPr>
      <w:r w:rsidRPr="007357DC">
        <w:rPr>
          <w:b/>
          <w:sz w:val="22"/>
          <w:szCs w:val="22"/>
        </w:rPr>
        <w:t>3.6</w:t>
      </w:r>
      <w:r>
        <w:rPr>
          <w:sz w:val="22"/>
          <w:szCs w:val="22"/>
        </w:rPr>
        <w:t xml:space="preserve"> Unused</w:t>
      </w:r>
    </w:p>
    <w:p w:rsidR="002451C1" w:rsidRDefault="002451C1" w:rsidP="0091313A">
      <w:pPr>
        <w:pStyle w:val="Default"/>
        <w:rPr>
          <w:sz w:val="22"/>
          <w:szCs w:val="22"/>
        </w:rPr>
      </w:pPr>
    </w:p>
    <w:p w:rsidR="0092217B" w:rsidRPr="00B8175E" w:rsidRDefault="007357DC" w:rsidP="0091313A">
      <w:pPr>
        <w:pStyle w:val="Default"/>
        <w:rPr>
          <w:i/>
          <w:color w:val="FF0000"/>
          <w:sz w:val="22"/>
          <w:szCs w:val="22"/>
        </w:rPr>
      </w:pPr>
      <w:r w:rsidRPr="007357DC">
        <w:rPr>
          <w:b/>
          <w:sz w:val="22"/>
          <w:szCs w:val="22"/>
        </w:rPr>
        <w:t>3.7</w:t>
      </w:r>
      <w:r>
        <w:rPr>
          <w:sz w:val="22"/>
          <w:szCs w:val="22"/>
        </w:rPr>
        <w:t xml:space="preserve"> </w:t>
      </w:r>
      <w:r w:rsidR="0092217B">
        <w:rPr>
          <w:sz w:val="22"/>
          <w:szCs w:val="22"/>
        </w:rPr>
        <w:t xml:space="preserve">The clinician will </w:t>
      </w:r>
      <w:r w:rsidR="002326CE">
        <w:rPr>
          <w:sz w:val="22"/>
          <w:szCs w:val="22"/>
        </w:rPr>
        <w:t>administer the antiviral</w:t>
      </w:r>
      <w:r w:rsidR="0092217B">
        <w:rPr>
          <w:sz w:val="22"/>
          <w:szCs w:val="22"/>
        </w:rPr>
        <w:t xml:space="preserve"> to all appropriate individuals</w:t>
      </w:r>
      <w:r w:rsidR="002326CE" w:rsidRPr="002326CE">
        <w:rPr>
          <w:sz w:val="22"/>
          <w:szCs w:val="22"/>
        </w:rPr>
        <w:t xml:space="preserve"> </w:t>
      </w:r>
      <w:r w:rsidR="002326CE">
        <w:rPr>
          <w:sz w:val="22"/>
          <w:szCs w:val="22"/>
        </w:rPr>
        <w:t>at the location of the outbreak</w:t>
      </w:r>
      <w:r w:rsidR="0092217B">
        <w:rPr>
          <w:sz w:val="22"/>
          <w:szCs w:val="22"/>
        </w:rPr>
        <w:t>, ensuring that patient consent is confirmed where possible.</w:t>
      </w:r>
      <w:r w:rsidR="00B8175E">
        <w:rPr>
          <w:sz w:val="22"/>
          <w:szCs w:val="22"/>
        </w:rPr>
        <w:t xml:space="preserve"> </w:t>
      </w:r>
    </w:p>
    <w:p w:rsidR="002451C1" w:rsidRDefault="002451C1" w:rsidP="0091313A">
      <w:pPr>
        <w:pStyle w:val="Default"/>
        <w:rPr>
          <w:sz w:val="22"/>
          <w:szCs w:val="22"/>
        </w:rPr>
      </w:pPr>
    </w:p>
    <w:p w:rsidR="0092217B" w:rsidRDefault="007357DC" w:rsidP="0092217B">
      <w:pPr>
        <w:pStyle w:val="Default"/>
        <w:rPr>
          <w:sz w:val="22"/>
          <w:szCs w:val="22"/>
        </w:rPr>
      </w:pPr>
      <w:r w:rsidRPr="007357DC">
        <w:rPr>
          <w:b/>
          <w:sz w:val="22"/>
          <w:szCs w:val="22"/>
        </w:rPr>
        <w:lastRenderedPageBreak/>
        <w:t>3.8</w:t>
      </w:r>
      <w:r>
        <w:rPr>
          <w:sz w:val="22"/>
          <w:szCs w:val="22"/>
        </w:rPr>
        <w:t xml:space="preserve"> </w:t>
      </w:r>
      <w:r w:rsidR="0092217B" w:rsidRPr="002451C1">
        <w:rPr>
          <w:sz w:val="22"/>
          <w:szCs w:val="22"/>
        </w:rPr>
        <w:t xml:space="preserve">The clinician </w:t>
      </w:r>
      <w:r w:rsidR="0092217B">
        <w:rPr>
          <w:sz w:val="22"/>
          <w:szCs w:val="22"/>
        </w:rPr>
        <w:t>will provide</w:t>
      </w:r>
      <w:r w:rsidR="0092217B" w:rsidRPr="002451C1">
        <w:rPr>
          <w:sz w:val="22"/>
          <w:szCs w:val="22"/>
        </w:rPr>
        <w:t xml:space="preserve"> contact i</w:t>
      </w:r>
      <w:r w:rsidR="0092217B">
        <w:rPr>
          <w:sz w:val="22"/>
          <w:szCs w:val="22"/>
        </w:rPr>
        <w:t>nformation to the institution in case</w:t>
      </w:r>
      <w:r w:rsidR="0092217B" w:rsidRPr="002451C1">
        <w:rPr>
          <w:sz w:val="22"/>
          <w:szCs w:val="22"/>
        </w:rPr>
        <w:t xml:space="preserve"> there any queries to be addressed regarding the clinical assessments they have made</w:t>
      </w:r>
      <w:r w:rsidR="002326CE">
        <w:rPr>
          <w:sz w:val="22"/>
          <w:szCs w:val="22"/>
        </w:rPr>
        <w:t xml:space="preserve"> or any adverse reactions</w:t>
      </w:r>
      <w:r w:rsidR="0092217B" w:rsidRPr="002451C1">
        <w:rPr>
          <w:sz w:val="22"/>
          <w:szCs w:val="22"/>
        </w:rPr>
        <w:t xml:space="preserve">. </w:t>
      </w:r>
    </w:p>
    <w:p w:rsidR="00C44A8E" w:rsidRPr="00D172DB" w:rsidRDefault="00C44A8E" w:rsidP="007357DC">
      <w:pPr>
        <w:pStyle w:val="Default"/>
        <w:rPr>
          <w:color w:val="auto"/>
          <w:sz w:val="22"/>
          <w:szCs w:val="22"/>
        </w:rPr>
      </w:pPr>
      <w:r w:rsidRPr="00D172DB">
        <w:rPr>
          <w:color w:val="auto"/>
          <w:sz w:val="22"/>
          <w:szCs w:val="22"/>
        </w:rPr>
        <w:t xml:space="preserve"> </w:t>
      </w:r>
    </w:p>
    <w:p w:rsidR="00C44A8E" w:rsidRDefault="0092217B" w:rsidP="00C44A8E">
      <w:pPr>
        <w:pStyle w:val="Default"/>
        <w:rPr>
          <w:sz w:val="22"/>
          <w:szCs w:val="22"/>
        </w:rPr>
      </w:pPr>
      <w:r w:rsidRPr="0092217B">
        <w:rPr>
          <w:b/>
          <w:color w:val="auto"/>
          <w:sz w:val="22"/>
          <w:szCs w:val="22"/>
        </w:rPr>
        <w:t>3.9</w:t>
      </w:r>
      <w:r>
        <w:rPr>
          <w:color w:val="auto"/>
          <w:sz w:val="22"/>
          <w:szCs w:val="22"/>
        </w:rPr>
        <w:t xml:space="preserve"> </w:t>
      </w:r>
      <w:r>
        <w:rPr>
          <w:sz w:val="22"/>
          <w:szCs w:val="22"/>
        </w:rPr>
        <w:t>PHE guidance states that t</w:t>
      </w:r>
      <w:r w:rsidRPr="0092217B">
        <w:rPr>
          <w:sz w:val="22"/>
          <w:szCs w:val="22"/>
        </w:rPr>
        <w:t>he process for clinical assessment and dispensing of antivirals needs to be completed within 48 hours of onset of symptoms in the last case (36 hours if zanamivir is used).</w:t>
      </w:r>
      <w:r>
        <w:rPr>
          <w:sz w:val="22"/>
          <w:szCs w:val="22"/>
        </w:rPr>
        <w:t xml:space="preserve"> The Provider will endeavour to meet this timescale but it is understood that delays in initial notification of the o</w:t>
      </w:r>
      <w:r w:rsidR="002326CE">
        <w:rPr>
          <w:sz w:val="22"/>
          <w:szCs w:val="22"/>
        </w:rPr>
        <w:t>utbreak may make this more difficult to achieve</w:t>
      </w:r>
      <w:r>
        <w:rPr>
          <w:sz w:val="22"/>
          <w:szCs w:val="22"/>
        </w:rPr>
        <w:t>.</w:t>
      </w:r>
    </w:p>
    <w:p w:rsidR="00C44A8E" w:rsidRPr="00D172DB" w:rsidRDefault="00C44A8E" w:rsidP="00C44A8E">
      <w:pPr>
        <w:pStyle w:val="Default"/>
        <w:rPr>
          <w:color w:val="auto"/>
          <w:sz w:val="22"/>
          <w:szCs w:val="22"/>
        </w:rPr>
      </w:pPr>
    </w:p>
    <w:p w:rsidR="00C44A8E" w:rsidRPr="00D172DB" w:rsidRDefault="002326CE" w:rsidP="00C44A8E">
      <w:pPr>
        <w:pStyle w:val="Default"/>
        <w:rPr>
          <w:color w:val="auto"/>
          <w:sz w:val="22"/>
          <w:szCs w:val="22"/>
        </w:rPr>
      </w:pPr>
      <w:r>
        <w:rPr>
          <w:b/>
          <w:color w:val="auto"/>
          <w:sz w:val="22"/>
          <w:szCs w:val="22"/>
        </w:rPr>
        <w:t>3.10</w:t>
      </w:r>
      <w:r w:rsidR="00C44A8E" w:rsidRPr="00D172DB">
        <w:rPr>
          <w:color w:val="auto"/>
          <w:sz w:val="22"/>
          <w:szCs w:val="22"/>
        </w:rPr>
        <w:t xml:space="preserve"> The </w:t>
      </w:r>
      <w:r w:rsidR="009426DB" w:rsidRPr="00D172DB">
        <w:rPr>
          <w:color w:val="auto"/>
          <w:sz w:val="22"/>
          <w:szCs w:val="22"/>
        </w:rPr>
        <w:t>Provider</w:t>
      </w:r>
      <w:r w:rsidR="00C44A8E" w:rsidRPr="00D172DB">
        <w:rPr>
          <w:color w:val="auto"/>
          <w:sz w:val="22"/>
          <w:szCs w:val="22"/>
        </w:rPr>
        <w:t xml:space="preserve"> will ensure that a notification of </w:t>
      </w:r>
      <w:r w:rsidR="00352F1A">
        <w:rPr>
          <w:color w:val="auto"/>
          <w:sz w:val="22"/>
          <w:szCs w:val="22"/>
        </w:rPr>
        <w:t>administration of the antiviral</w:t>
      </w:r>
      <w:r w:rsidR="00C44A8E" w:rsidRPr="00D172DB">
        <w:rPr>
          <w:color w:val="auto"/>
          <w:sz w:val="22"/>
          <w:szCs w:val="22"/>
        </w:rPr>
        <w:t xml:space="preserve"> is sent to the patient’s </w:t>
      </w:r>
      <w:r w:rsidR="00F752DF">
        <w:rPr>
          <w:color w:val="auto"/>
          <w:sz w:val="22"/>
          <w:szCs w:val="22"/>
        </w:rPr>
        <w:t xml:space="preserve">registered </w:t>
      </w:r>
      <w:r w:rsidR="00C44A8E" w:rsidRPr="00D172DB">
        <w:rPr>
          <w:color w:val="auto"/>
          <w:sz w:val="22"/>
          <w:szCs w:val="22"/>
        </w:rPr>
        <w:t xml:space="preserve">GP practice on the same day the </w:t>
      </w:r>
      <w:r w:rsidR="00352F1A">
        <w:rPr>
          <w:color w:val="auto"/>
          <w:sz w:val="22"/>
          <w:szCs w:val="22"/>
        </w:rPr>
        <w:t>antiviral</w:t>
      </w:r>
      <w:r w:rsidR="00C44A8E" w:rsidRPr="00D172DB">
        <w:rPr>
          <w:color w:val="auto"/>
          <w:sz w:val="22"/>
          <w:szCs w:val="22"/>
        </w:rPr>
        <w:t xml:space="preserve"> is administered or on the following working day. This can be undertaken via post, hand delivery, fax, secure email or secure electronic data interchange. The information sent to the GP practice should include the following details as a minimum: </w:t>
      </w:r>
    </w:p>
    <w:p w:rsidR="00C44A8E" w:rsidRPr="00D172DB" w:rsidRDefault="00C44A8E" w:rsidP="00C44A8E">
      <w:pPr>
        <w:pStyle w:val="Default"/>
        <w:rPr>
          <w:color w:val="auto"/>
          <w:sz w:val="22"/>
          <w:szCs w:val="22"/>
        </w:rPr>
      </w:pPr>
    </w:p>
    <w:p w:rsidR="00C44A8E" w:rsidRPr="00D172DB" w:rsidRDefault="00C44A8E" w:rsidP="00572D0C">
      <w:pPr>
        <w:pStyle w:val="Default"/>
        <w:ind w:left="720"/>
        <w:rPr>
          <w:color w:val="auto"/>
          <w:sz w:val="22"/>
          <w:szCs w:val="22"/>
        </w:rPr>
      </w:pPr>
      <w:r w:rsidRPr="00D172DB">
        <w:rPr>
          <w:b/>
          <w:color w:val="auto"/>
          <w:sz w:val="22"/>
          <w:szCs w:val="22"/>
        </w:rPr>
        <w:t>a.</w:t>
      </w:r>
      <w:r w:rsidRPr="00D172DB">
        <w:rPr>
          <w:color w:val="auto"/>
          <w:sz w:val="22"/>
          <w:szCs w:val="22"/>
        </w:rPr>
        <w:t xml:space="preserve"> the patient’s name, address, date of birth and NHS number (where known)</w:t>
      </w:r>
      <w:r w:rsidR="00352F1A">
        <w:rPr>
          <w:color w:val="auto"/>
          <w:sz w:val="22"/>
          <w:szCs w:val="22"/>
        </w:rPr>
        <w:t>;</w:t>
      </w:r>
      <w:r w:rsidRPr="00D172DB">
        <w:rPr>
          <w:color w:val="auto"/>
          <w:sz w:val="22"/>
          <w:szCs w:val="22"/>
        </w:rPr>
        <w:t xml:space="preserve"> </w:t>
      </w:r>
    </w:p>
    <w:p w:rsidR="00C44A8E" w:rsidRPr="00D172DB" w:rsidRDefault="00C44A8E" w:rsidP="00352F1A">
      <w:pPr>
        <w:pStyle w:val="Default"/>
        <w:ind w:left="720"/>
        <w:rPr>
          <w:color w:val="auto"/>
          <w:sz w:val="22"/>
          <w:szCs w:val="22"/>
        </w:rPr>
      </w:pPr>
      <w:r w:rsidRPr="00D172DB">
        <w:rPr>
          <w:b/>
          <w:color w:val="auto"/>
          <w:sz w:val="22"/>
          <w:szCs w:val="22"/>
        </w:rPr>
        <w:t>b.</w:t>
      </w:r>
      <w:r w:rsidRPr="00D172DB">
        <w:rPr>
          <w:color w:val="auto"/>
          <w:sz w:val="22"/>
          <w:szCs w:val="22"/>
        </w:rPr>
        <w:t xml:space="preserve"> the date of the administration of the </w:t>
      </w:r>
      <w:r w:rsidR="00352F1A">
        <w:rPr>
          <w:color w:val="auto"/>
          <w:sz w:val="22"/>
          <w:szCs w:val="22"/>
        </w:rPr>
        <w:t>antiviral;</w:t>
      </w:r>
      <w:r w:rsidRPr="00D172DB">
        <w:rPr>
          <w:color w:val="auto"/>
          <w:sz w:val="22"/>
          <w:szCs w:val="22"/>
        </w:rPr>
        <w:t xml:space="preserve"> </w:t>
      </w:r>
    </w:p>
    <w:p w:rsidR="00352F1A" w:rsidRDefault="00A80B2A" w:rsidP="00572D0C">
      <w:pPr>
        <w:pStyle w:val="Default"/>
        <w:ind w:left="720"/>
        <w:rPr>
          <w:color w:val="auto"/>
          <w:sz w:val="22"/>
          <w:szCs w:val="22"/>
        </w:rPr>
      </w:pPr>
      <w:r>
        <w:rPr>
          <w:b/>
          <w:color w:val="auto"/>
          <w:sz w:val="22"/>
          <w:szCs w:val="22"/>
        </w:rPr>
        <w:t>c</w:t>
      </w:r>
      <w:r w:rsidR="00C44A8E" w:rsidRPr="00D172DB">
        <w:rPr>
          <w:b/>
          <w:color w:val="auto"/>
          <w:sz w:val="22"/>
          <w:szCs w:val="22"/>
        </w:rPr>
        <w:t>.</w:t>
      </w:r>
      <w:r w:rsidR="00C44A8E" w:rsidRPr="00D172DB">
        <w:rPr>
          <w:color w:val="auto"/>
          <w:sz w:val="22"/>
          <w:szCs w:val="22"/>
        </w:rPr>
        <w:t xml:space="preserve"> </w:t>
      </w:r>
      <w:r w:rsidR="00352F1A">
        <w:rPr>
          <w:color w:val="auto"/>
          <w:sz w:val="22"/>
          <w:szCs w:val="22"/>
        </w:rPr>
        <w:t>the antiviral used;</w:t>
      </w:r>
    </w:p>
    <w:p w:rsidR="00C44A8E" w:rsidRPr="00D172DB" w:rsidRDefault="00352F1A" w:rsidP="00572D0C">
      <w:pPr>
        <w:pStyle w:val="Default"/>
        <w:ind w:left="720"/>
        <w:rPr>
          <w:color w:val="auto"/>
          <w:sz w:val="22"/>
          <w:szCs w:val="22"/>
        </w:rPr>
      </w:pPr>
      <w:r w:rsidRPr="00352F1A">
        <w:rPr>
          <w:b/>
          <w:color w:val="auto"/>
          <w:sz w:val="22"/>
          <w:szCs w:val="22"/>
        </w:rPr>
        <w:t>d.</w:t>
      </w:r>
      <w:r>
        <w:rPr>
          <w:color w:val="auto"/>
          <w:sz w:val="22"/>
          <w:szCs w:val="22"/>
        </w:rPr>
        <w:t xml:space="preserve"> </w:t>
      </w:r>
      <w:r w:rsidR="00C44A8E" w:rsidRPr="00D172DB">
        <w:rPr>
          <w:color w:val="auto"/>
          <w:sz w:val="22"/>
          <w:szCs w:val="22"/>
        </w:rPr>
        <w:t>any adv</w:t>
      </w:r>
      <w:r>
        <w:rPr>
          <w:color w:val="auto"/>
          <w:sz w:val="22"/>
          <w:szCs w:val="22"/>
        </w:rPr>
        <w:t xml:space="preserve">erse reaction to the antiviral </w:t>
      </w:r>
      <w:r w:rsidR="00C44A8E" w:rsidRPr="00D172DB">
        <w:rPr>
          <w:color w:val="auto"/>
          <w:sz w:val="22"/>
          <w:szCs w:val="22"/>
        </w:rPr>
        <w:t xml:space="preserve">and action taken/recommended to manage the adverse reaction. </w:t>
      </w:r>
    </w:p>
    <w:p w:rsidR="00572D0C" w:rsidRDefault="00572D0C" w:rsidP="00572D0C">
      <w:pPr>
        <w:pStyle w:val="Default"/>
        <w:ind w:left="720"/>
        <w:rPr>
          <w:color w:val="auto"/>
          <w:sz w:val="23"/>
          <w:szCs w:val="23"/>
        </w:rPr>
      </w:pPr>
    </w:p>
    <w:p w:rsidR="004201D9" w:rsidRDefault="004201D9" w:rsidP="004201D9">
      <w:pPr>
        <w:pStyle w:val="Default"/>
        <w:rPr>
          <w:color w:val="auto"/>
          <w:sz w:val="23"/>
          <w:szCs w:val="23"/>
        </w:rPr>
      </w:pPr>
    </w:p>
    <w:p w:rsidR="004201D9" w:rsidRDefault="004201D9" w:rsidP="004201D9">
      <w:pPr>
        <w:pStyle w:val="Default"/>
        <w:rPr>
          <w:color w:val="auto"/>
          <w:sz w:val="23"/>
          <w:szCs w:val="23"/>
        </w:rPr>
      </w:pPr>
    </w:p>
    <w:p w:rsidR="00C44A8E" w:rsidRDefault="00C44A8E" w:rsidP="00D172DB">
      <w:pPr>
        <w:pStyle w:val="Default"/>
        <w:rPr>
          <w:sz w:val="22"/>
          <w:szCs w:val="22"/>
        </w:rPr>
      </w:pPr>
      <w:r w:rsidRPr="00D172DB">
        <w:rPr>
          <w:b/>
          <w:sz w:val="22"/>
          <w:szCs w:val="22"/>
        </w:rPr>
        <w:t>3.12</w:t>
      </w:r>
      <w:r w:rsidR="00FA7766">
        <w:rPr>
          <w:sz w:val="22"/>
          <w:szCs w:val="22"/>
        </w:rPr>
        <w:t xml:space="preserve"> </w:t>
      </w:r>
      <w:r w:rsidR="00FA7766" w:rsidRPr="00FA7766">
        <w:rPr>
          <w:sz w:val="22"/>
          <w:szCs w:val="22"/>
        </w:rPr>
        <w:t xml:space="preserve">If any exposed person develops ILI symptoms while on antiviral prophylaxis, the contact person at the affected institution </w:t>
      </w:r>
      <w:r w:rsidR="00FA7766">
        <w:rPr>
          <w:sz w:val="22"/>
          <w:szCs w:val="22"/>
        </w:rPr>
        <w:t>will report this</w:t>
      </w:r>
      <w:r w:rsidR="00FA7766" w:rsidRPr="00FA7766">
        <w:rPr>
          <w:sz w:val="22"/>
          <w:szCs w:val="22"/>
        </w:rPr>
        <w:t xml:space="preserve"> to th</w:t>
      </w:r>
      <w:r w:rsidR="00FA7766">
        <w:rPr>
          <w:sz w:val="22"/>
          <w:szCs w:val="22"/>
        </w:rPr>
        <w:t>e Clinician. If the C</w:t>
      </w:r>
      <w:r w:rsidR="00FA7766" w:rsidRPr="00FA7766">
        <w:rPr>
          <w:sz w:val="22"/>
          <w:szCs w:val="22"/>
        </w:rPr>
        <w:t xml:space="preserve">linician suspects ILI, they should recommend the exposed person is switched to a course of treatment-dose antivirals. </w:t>
      </w:r>
    </w:p>
    <w:p w:rsidR="00D172DB" w:rsidRDefault="00D172DB" w:rsidP="00D172DB">
      <w:pPr>
        <w:pStyle w:val="Default"/>
        <w:rPr>
          <w:color w:val="auto"/>
        </w:rPr>
      </w:pPr>
    </w:p>
    <w:p w:rsidR="00C44A8E" w:rsidRDefault="00C44A8E" w:rsidP="00C44A8E">
      <w:pPr>
        <w:pStyle w:val="Default"/>
        <w:rPr>
          <w:color w:val="auto"/>
          <w:sz w:val="23"/>
          <w:szCs w:val="23"/>
        </w:rPr>
      </w:pPr>
      <w:r w:rsidRPr="007931FA">
        <w:rPr>
          <w:b/>
          <w:color w:val="auto"/>
          <w:sz w:val="22"/>
          <w:szCs w:val="22"/>
        </w:rPr>
        <w:t>3.13</w:t>
      </w:r>
      <w:r w:rsidRPr="007931FA">
        <w:rPr>
          <w:color w:val="auto"/>
          <w:sz w:val="22"/>
          <w:szCs w:val="22"/>
        </w:rPr>
        <w:t xml:space="preserve"> The </w:t>
      </w:r>
      <w:r w:rsidR="009426DB" w:rsidRPr="007931FA">
        <w:rPr>
          <w:color w:val="auto"/>
          <w:sz w:val="22"/>
          <w:szCs w:val="22"/>
        </w:rPr>
        <w:t>Provider</w:t>
      </w:r>
      <w:r w:rsidRPr="007931FA">
        <w:rPr>
          <w:color w:val="auto"/>
          <w:sz w:val="22"/>
          <w:szCs w:val="22"/>
        </w:rPr>
        <w:t xml:space="preserve"> is required to make arrangements for the removal and safe disposal of any clinical waste related to the provision of this service</w:t>
      </w:r>
      <w:r>
        <w:rPr>
          <w:color w:val="auto"/>
          <w:sz w:val="23"/>
          <w:szCs w:val="23"/>
        </w:rPr>
        <w:t xml:space="preserve">. </w:t>
      </w:r>
    </w:p>
    <w:p w:rsidR="00C44A8E" w:rsidRDefault="00C44A8E" w:rsidP="00C44A8E">
      <w:pPr>
        <w:pStyle w:val="Default"/>
        <w:rPr>
          <w:color w:val="auto"/>
          <w:sz w:val="23"/>
          <w:szCs w:val="23"/>
        </w:rPr>
      </w:pPr>
    </w:p>
    <w:p w:rsidR="00C44A8E" w:rsidRPr="00C3468E" w:rsidRDefault="00C44A8E" w:rsidP="00C44A8E">
      <w:pPr>
        <w:pStyle w:val="Default"/>
        <w:rPr>
          <w:color w:val="auto"/>
          <w:sz w:val="36"/>
          <w:szCs w:val="36"/>
        </w:rPr>
      </w:pPr>
      <w:r w:rsidRPr="00C3468E">
        <w:rPr>
          <w:b/>
          <w:bCs/>
          <w:color w:val="auto"/>
          <w:sz w:val="36"/>
          <w:szCs w:val="36"/>
        </w:rPr>
        <w:t xml:space="preserve">4. Training </w:t>
      </w:r>
    </w:p>
    <w:p w:rsidR="00C44A8E" w:rsidRDefault="00C44A8E" w:rsidP="00C44A8E">
      <w:pPr>
        <w:pStyle w:val="Default"/>
        <w:rPr>
          <w:color w:val="auto"/>
          <w:sz w:val="23"/>
          <w:szCs w:val="23"/>
        </w:rPr>
      </w:pPr>
    </w:p>
    <w:p w:rsidR="00C44A8E" w:rsidRDefault="007C5949" w:rsidP="00C44A8E">
      <w:pPr>
        <w:pStyle w:val="Default"/>
        <w:rPr>
          <w:color w:val="auto"/>
          <w:sz w:val="22"/>
          <w:szCs w:val="22"/>
        </w:rPr>
      </w:pPr>
      <w:r w:rsidRPr="00D172DB">
        <w:rPr>
          <w:b/>
          <w:color w:val="auto"/>
          <w:sz w:val="22"/>
          <w:szCs w:val="22"/>
        </w:rPr>
        <w:t>4.1</w:t>
      </w:r>
      <w:r w:rsidR="00C44A8E" w:rsidRPr="00D172DB">
        <w:rPr>
          <w:color w:val="auto"/>
          <w:sz w:val="22"/>
          <w:szCs w:val="22"/>
        </w:rPr>
        <w:t xml:space="preserve"> The </w:t>
      </w:r>
      <w:r w:rsidR="009426DB" w:rsidRPr="00D172DB">
        <w:rPr>
          <w:color w:val="auto"/>
          <w:sz w:val="22"/>
          <w:szCs w:val="22"/>
        </w:rPr>
        <w:t>Provider</w:t>
      </w:r>
      <w:r w:rsidR="00572D0C" w:rsidRPr="00D172DB">
        <w:rPr>
          <w:color w:val="auto"/>
          <w:sz w:val="22"/>
          <w:szCs w:val="22"/>
        </w:rPr>
        <w:t xml:space="preserve"> must ensure that clinical staff</w:t>
      </w:r>
      <w:r w:rsidR="00C44A8E" w:rsidRPr="00D172DB">
        <w:rPr>
          <w:color w:val="auto"/>
          <w:sz w:val="22"/>
          <w:szCs w:val="22"/>
        </w:rPr>
        <w:t xml:space="preserve"> providing the service are competent t</w:t>
      </w:r>
      <w:r w:rsidR="00572D0C" w:rsidRPr="00D172DB">
        <w:rPr>
          <w:color w:val="auto"/>
          <w:sz w:val="22"/>
          <w:szCs w:val="22"/>
        </w:rPr>
        <w:t>o do so. Clinical staff</w:t>
      </w:r>
      <w:r w:rsidR="00C44A8E" w:rsidRPr="00D172DB">
        <w:rPr>
          <w:color w:val="auto"/>
          <w:sz w:val="22"/>
          <w:szCs w:val="22"/>
        </w:rPr>
        <w:t xml:space="preserve"> should demonstrate to the </w:t>
      </w:r>
      <w:r w:rsidR="009426DB" w:rsidRPr="00D172DB">
        <w:rPr>
          <w:color w:val="auto"/>
          <w:sz w:val="22"/>
          <w:szCs w:val="22"/>
        </w:rPr>
        <w:t>Provider</w:t>
      </w:r>
      <w:r w:rsidR="00C44A8E" w:rsidRPr="00D172DB">
        <w:rPr>
          <w:color w:val="auto"/>
          <w:sz w:val="22"/>
          <w:szCs w:val="22"/>
        </w:rPr>
        <w:t xml:space="preserve"> that they have the necessary knowledge an</w:t>
      </w:r>
      <w:r w:rsidR="000A254F">
        <w:rPr>
          <w:color w:val="auto"/>
          <w:sz w:val="22"/>
          <w:szCs w:val="22"/>
        </w:rPr>
        <w:t>d skills to provide the service.</w:t>
      </w:r>
    </w:p>
    <w:p w:rsidR="00A64BF4" w:rsidRPr="00D172DB" w:rsidRDefault="00A64BF4" w:rsidP="00C44A8E">
      <w:pPr>
        <w:pStyle w:val="Default"/>
        <w:rPr>
          <w:color w:val="auto"/>
          <w:sz w:val="22"/>
          <w:szCs w:val="22"/>
        </w:rPr>
      </w:pPr>
    </w:p>
    <w:p w:rsidR="00C44A8E" w:rsidRPr="00D172DB" w:rsidRDefault="007C5949" w:rsidP="00C44A8E">
      <w:pPr>
        <w:pStyle w:val="Default"/>
        <w:rPr>
          <w:color w:val="auto"/>
          <w:sz w:val="22"/>
          <w:szCs w:val="22"/>
        </w:rPr>
      </w:pPr>
      <w:r w:rsidRPr="00D172DB">
        <w:rPr>
          <w:b/>
          <w:color w:val="auto"/>
          <w:sz w:val="22"/>
          <w:szCs w:val="22"/>
        </w:rPr>
        <w:t>4.2</w:t>
      </w:r>
      <w:r w:rsidR="00C44A8E" w:rsidRPr="00D172DB">
        <w:rPr>
          <w:color w:val="auto"/>
          <w:sz w:val="22"/>
          <w:szCs w:val="22"/>
        </w:rPr>
        <w:t xml:space="preserve"> The </w:t>
      </w:r>
      <w:r w:rsidR="009426DB" w:rsidRPr="00D172DB">
        <w:rPr>
          <w:color w:val="auto"/>
          <w:sz w:val="22"/>
          <w:szCs w:val="22"/>
        </w:rPr>
        <w:t>Provider</w:t>
      </w:r>
      <w:r w:rsidR="00C44A8E" w:rsidRPr="00D172DB">
        <w:rPr>
          <w:color w:val="auto"/>
          <w:sz w:val="22"/>
          <w:szCs w:val="22"/>
        </w:rPr>
        <w:t xml:space="preserve"> must ensure that staff are appropriately trained and made aware of the risks associated with the handling and disposal of clinical waste and that correct procedures are used to minimise those risks. A needle stick injury procedure must be in place. </w:t>
      </w:r>
    </w:p>
    <w:p w:rsidR="00C44A8E" w:rsidRPr="00D172DB" w:rsidRDefault="00C44A8E" w:rsidP="00C44A8E">
      <w:pPr>
        <w:pStyle w:val="Default"/>
        <w:rPr>
          <w:color w:val="auto"/>
          <w:sz w:val="22"/>
          <w:szCs w:val="22"/>
        </w:rPr>
      </w:pPr>
    </w:p>
    <w:p w:rsidR="00C44A8E" w:rsidRPr="00D172DB" w:rsidRDefault="007C5949" w:rsidP="00C44A8E">
      <w:pPr>
        <w:pStyle w:val="Default"/>
        <w:rPr>
          <w:color w:val="auto"/>
          <w:sz w:val="22"/>
          <w:szCs w:val="22"/>
        </w:rPr>
      </w:pPr>
      <w:r w:rsidRPr="00D172DB">
        <w:rPr>
          <w:b/>
          <w:color w:val="auto"/>
          <w:sz w:val="22"/>
          <w:szCs w:val="22"/>
        </w:rPr>
        <w:t>4.3</w:t>
      </w:r>
      <w:r w:rsidR="00C44A8E" w:rsidRPr="00D172DB">
        <w:rPr>
          <w:color w:val="auto"/>
          <w:sz w:val="22"/>
          <w:szCs w:val="22"/>
        </w:rPr>
        <w:t xml:space="preserve"> The </w:t>
      </w:r>
      <w:r w:rsidR="009426DB" w:rsidRPr="00D172DB">
        <w:rPr>
          <w:color w:val="auto"/>
          <w:sz w:val="22"/>
          <w:szCs w:val="22"/>
        </w:rPr>
        <w:t>Provider</w:t>
      </w:r>
      <w:r w:rsidR="00C44A8E" w:rsidRPr="00D172DB">
        <w:rPr>
          <w:color w:val="auto"/>
          <w:sz w:val="22"/>
          <w:szCs w:val="22"/>
        </w:rPr>
        <w:t xml:space="preserve"> must ensure that staff involved in the provision of this service are advised that they should consider being vaccinated against Hepatitis B and be advised of the risks should they decide not to be vaccinated. </w:t>
      </w:r>
    </w:p>
    <w:p w:rsidR="00C44A8E" w:rsidRDefault="00C44A8E" w:rsidP="00C44A8E">
      <w:pPr>
        <w:pStyle w:val="Default"/>
        <w:rPr>
          <w:color w:val="auto"/>
          <w:sz w:val="23"/>
          <w:szCs w:val="23"/>
        </w:rPr>
      </w:pPr>
    </w:p>
    <w:p w:rsidR="00C44A8E" w:rsidRPr="00C3468E" w:rsidRDefault="00C44A8E" w:rsidP="00C44A8E">
      <w:pPr>
        <w:pStyle w:val="Default"/>
        <w:rPr>
          <w:b/>
          <w:bCs/>
          <w:color w:val="auto"/>
          <w:sz w:val="36"/>
          <w:szCs w:val="36"/>
        </w:rPr>
      </w:pPr>
      <w:r w:rsidRPr="00C3468E">
        <w:rPr>
          <w:b/>
          <w:bCs/>
          <w:color w:val="auto"/>
          <w:sz w:val="36"/>
          <w:szCs w:val="36"/>
        </w:rPr>
        <w:t xml:space="preserve">5. Service availability </w:t>
      </w:r>
    </w:p>
    <w:p w:rsidR="00C3468E" w:rsidRPr="00E52609" w:rsidRDefault="00C3468E" w:rsidP="00C44A8E">
      <w:pPr>
        <w:pStyle w:val="Default"/>
        <w:rPr>
          <w:color w:val="auto"/>
          <w:sz w:val="28"/>
          <w:szCs w:val="28"/>
        </w:rPr>
      </w:pPr>
    </w:p>
    <w:p w:rsidR="00C44A8E" w:rsidRPr="00D172DB" w:rsidRDefault="00C44A8E" w:rsidP="00C44A8E">
      <w:pPr>
        <w:pStyle w:val="Default"/>
        <w:rPr>
          <w:color w:val="auto"/>
          <w:sz w:val="22"/>
          <w:szCs w:val="22"/>
        </w:rPr>
      </w:pPr>
      <w:r w:rsidRPr="00D172DB">
        <w:rPr>
          <w:b/>
          <w:color w:val="auto"/>
          <w:sz w:val="22"/>
          <w:szCs w:val="22"/>
        </w:rPr>
        <w:t>5.1</w:t>
      </w:r>
      <w:r w:rsidRPr="00D172DB">
        <w:rPr>
          <w:color w:val="auto"/>
          <w:sz w:val="22"/>
          <w:szCs w:val="22"/>
        </w:rPr>
        <w:t xml:space="preserve"> The </w:t>
      </w:r>
      <w:r w:rsidR="009426DB" w:rsidRPr="00D172DB">
        <w:rPr>
          <w:color w:val="auto"/>
          <w:sz w:val="22"/>
          <w:szCs w:val="22"/>
        </w:rPr>
        <w:t>Provider</w:t>
      </w:r>
      <w:r w:rsidRPr="00D172DB">
        <w:rPr>
          <w:color w:val="auto"/>
          <w:sz w:val="22"/>
          <w:szCs w:val="22"/>
        </w:rPr>
        <w:t xml:space="preserve"> </w:t>
      </w:r>
      <w:r w:rsidR="008B5B77">
        <w:rPr>
          <w:color w:val="auto"/>
          <w:sz w:val="22"/>
          <w:szCs w:val="22"/>
        </w:rPr>
        <w:t>must</w:t>
      </w:r>
      <w:r w:rsidRPr="00D172DB">
        <w:rPr>
          <w:color w:val="auto"/>
          <w:sz w:val="22"/>
          <w:szCs w:val="22"/>
        </w:rPr>
        <w:t xml:space="preserve"> to ensure that the service is available </w:t>
      </w:r>
      <w:r w:rsidR="00F752DF">
        <w:rPr>
          <w:color w:val="auto"/>
          <w:sz w:val="22"/>
          <w:szCs w:val="22"/>
        </w:rPr>
        <w:t>5</w:t>
      </w:r>
      <w:r w:rsidR="00126A8A">
        <w:rPr>
          <w:color w:val="auto"/>
          <w:sz w:val="22"/>
          <w:szCs w:val="22"/>
        </w:rPr>
        <w:t xml:space="preserve"> days a week, in order to </w:t>
      </w:r>
      <w:r w:rsidR="008B5B77">
        <w:rPr>
          <w:color w:val="auto"/>
          <w:sz w:val="22"/>
          <w:szCs w:val="22"/>
        </w:rPr>
        <w:t>facilitate compliance</w:t>
      </w:r>
      <w:r w:rsidR="00126A8A">
        <w:rPr>
          <w:color w:val="auto"/>
          <w:sz w:val="22"/>
          <w:szCs w:val="22"/>
        </w:rPr>
        <w:t xml:space="preserve"> with the 48-hour timescale referred to in </w:t>
      </w:r>
      <w:r w:rsidR="004C395B">
        <w:rPr>
          <w:color w:val="auto"/>
          <w:sz w:val="22"/>
          <w:szCs w:val="22"/>
        </w:rPr>
        <w:t xml:space="preserve">clause 3.9 above, </w:t>
      </w:r>
    </w:p>
    <w:p w:rsidR="00C44A8E" w:rsidRPr="00D172DB" w:rsidRDefault="00C44A8E" w:rsidP="00C44A8E">
      <w:pPr>
        <w:pStyle w:val="Default"/>
        <w:rPr>
          <w:color w:val="auto"/>
          <w:sz w:val="22"/>
          <w:szCs w:val="22"/>
        </w:rPr>
      </w:pPr>
    </w:p>
    <w:p w:rsidR="00C44A8E" w:rsidRPr="00D172DB" w:rsidRDefault="00C44A8E" w:rsidP="00C44A8E">
      <w:pPr>
        <w:pStyle w:val="Default"/>
        <w:rPr>
          <w:color w:val="auto"/>
          <w:sz w:val="22"/>
          <w:szCs w:val="22"/>
        </w:rPr>
      </w:pPr>
      <w:r w:rsidRPr="00D172DB">
        <w:rPr>
          <w:b/>
          <w:color w:val="auto"/>
          <w:sz w:val="22"/>
          <w:szCs w:val="22"/>
        </w:rPr>
        <w:t>5.2</w:t>
      </w:r>
      <w:r w:rsidRPr="00D172DB">
        <w:rPr>
          <w:color w:val="auto"/>
          <w:sz w:val="22"/>
          <w:szCs w:val="22"/>
        </w:rPr>
        <w:t xml:space="preserve"> The </w:t>
      </w:r>
      <w:r w:rsidR="009426DB" w:rsidRPr="00D172DB">
        <w:rPr>
          <w:color w:val="auto"/>
          <w:sz w:val="22"/>
          <w:szCs w:val="22"/>
        </w:rPr>
        <w:t>Provider</w:t>
      </w:r>
      <w:r w:rsidRPr="00D172DB">
        <w:rPr>
          <w:color w:val="auto"/>
          <w:sz w:val="22"/>
          <w:szCs w:val="22"/>
        </w:rPr>
        <w:t xml:space="preserve"> must ensure the service is accessible, appropriate and sensitive to the needs of all service users. No eligible patient shall be excluded or experience particular difficulty in accessing and effectively using this service due to their race, gender, disability, </w:t>
      </w:r>
      <w:r w:rsidRPr="00D172DB">
        <w:rPr>
          <w:color w:val="auto"/>
          <w:sz w:val="22"/>
          <w:szCs w:val="22"/>
        </w:rPr>
        <w:lastRenderedPageBreak/>
        <w:t xml:space="preserve">sexual orientation, religion or belief, gender reassignment, marriage or civil partnership status, pregnancy or maternity, or age. </w:t>
      </w:r>
    </w:p>
    <w:p w:rsidR="00E52609" w:rsidRPr="00E52609" w:rsidRDefault="00E52609" w:rsidP="00C44A8E">
      <w:pPr>
        <w:pStyle w:val="Default"/>
        <w:rPr>
          <w:b/>
          <w:bCs/>
          <w:sz w:val="28"/>
          <w:szCs w:val="28"/>
        </w:rPr>
      </w:pPr>
    </w:p>
    <w:p w:rsidR="00C44A8E" w:rsidRPr="00C3468E" w:rsidRDefault="00C44A8E" w:rsidP="00C44A8E">
      <w:pPr>
        <w:pStyle w:val="Default"/>
        <w:rPr>
          <w:b/>
          <w:bCs/>
          <w:sz w:val="36"/>
          <w:szCs w:val="36"/>
        </w:rPr>
      </w:pPr>
      <w:r w:rsidRPr="00C3468E">
        <w:rPr>
          <w:b/>
          <w:bCs/>
          <w:sz w:val="36"/>
          <w:szCs w:val="36"/>
        </w:rPr>
        <w:t xml:space="preserve">6. Data collection and reporting requirements </w:t>
      </w:r>
    </w:p>
    <w:p w:rsidR="00C3468E" w:rsidRPr="00FA7766" w:rsidRDefault="00181F47" w:rsidP="00C44A8E">
      <w:pPr>
        <w:pStyle w:val="Default"/>
        <w:rPr>
          <w:sz w:val="22"/>
          <w:szCs w:val="22"/>
        </w:rPr>
      </w:pPr>
      <w:r w:rsidRPr="00181F47">
        <w:rPr>
          <w:b/>
          <w:sz w:val="22"/>
          <w:szCs w:val="22"/>
        </w:rPr>
        <w:t>6.1</w:t>
      </w:r>
      <w:r>
        <w:rPr>
          <w:sz w:val="22"/>
          <w:szCs w:val="22"/>
        </w:rPr>
        <w:t xml:space="preserve"> </w:t>
      </w:r>
      <w:r w:rsidR="00FA7766" w:rsidRPr="00FA7766">
        <w:rPr>
          <w:sz w:val="22"/>
          <w:szCs w:val="22"/>
        </w:rPr>
        <w:t>For governance purposes, a summary (by risk group and patient/carer status) of the number of individuals who have been assessed and the number supplied with antiviral treatment or prophylaxis should be provided by the clinician to the PHE Centre HPT.</w:t>
      </w:r>
    </w:p>
    <w:p w:rsidR="00C44A8E" w:rsidRPr="00D172DB" w:rsidRDefault="00A377C0" w:rsidP="00A377C0">
      <w:pPr>
        <w:pStyle w:val="Default"/>
        <w:rPr>
          <w:color w:val="auto"/>
          <w:sz w:val="22"/>
          <w:szCs w:val="22"/>
        </w:rPr>
      </w:pPr>
      <w:r>
        <w:rPr>
          <w:sz w:val="22"/>
          <w:szCs w:val="22"/>
        </w:rPr>
        <w:t>.</w:t>
      </w:r>
      <w:r w:rsidR="00C44A8E" w:rsidRPr="00D172DB">
        <w:rPr>
          <w:sz w:val="22"/>
          <w:szCs w:val="22"/>
        </w:rPr>
        <w:t xml:space="preserve"> </w:t>
      </w:r>
    </w:p>
    <w:p w:rsidR="00C44A8E" w:rsidRDefault="00181F47" w:rsidP="00C44A8E">
      <w:pPr>
        <w:pStyle w:val="Default"/>
        <w:rPr>
          <w:sz w:val="22"/>
          <w:szCs w:val="22"/>
        </w:rPr>
      </w:pPr>
      <w:r w:rsidRPr="00181F47">
        <w:rPr>
          <w:b/>
          <w:sz w:val="22"/>
          <w:szCs w:val="22"/>
        </w:rPr>
        <w:t>6.2</w:t>
      </w:r>
      <w:r>
        <w:rPr>
          <w:sz w:val="22"/>
          <w:szCs w:val="22"/>
        </w:rPr>
        <w:t xml:space="preserve"> </w:t>
      </w:r>
      <w:r w:rsidR="007B0FAC">
        <w:rPr>
          <w:sz w:val="22"/>
          <w:szCs w:val="22"/>
        </w:rPr>
        <w:t>If an</w:t>
      </w:r>
      <w:r w:rsidR="007B0FAC" w:rsidRPr="00FA7766">
        <w:rPr>
          <w:sz w:val="22"/>
          <w:szCs w:val="22"/>
        </w:rPr>
        <w:t xml:space="preserve"> exposed person</w:t>
      </w:r>
      <w:r w:rsidR="007B0FAC">
        <w:rPr>
          <w:sz w:val="22"/>
          <w:szCs w:val="22"/>
        </w:rPr>
        <w:t xml:space="preserve"> with suspected ILI</w:t>
      </w:r>
      <w:r w:rsidR="007B0FAC" w:rsidRPr="00FA7766">
        <w:rPr>
          <w:sz w:val="22"/>
          <w:szCs w:val="22"/>
        </w:rPr>
        <w:t xml:space="preserve"> is switched to a course of treatment-dose antivirals</w:t>
      </w:r>
      <w:r w:rsidR="007B0FAC">
        <w:rPr>
          <w:sz w:val="22"/>
          <w:szCs w:val="22"/>
        </w:rPr>
        <w:t>,</w:t>
      </w:r>
      <w:r w:rsidR="007B0FAC" w:rsidRPr="00FA7766">
        <w:rPr>
          <w:sz w:val="22"/>
          <w:szCs w:val="22"/>
        </w:rPr>
        <w:t xml:space="preserve"> </w:t>
      </w:r>
      <w:r w:rsidR="007B0FAC">
        <w:rPr>
          <w:sz w:val="22"/>
          <w:szCs w:val="22"/>
        </w:rPr>
        <w:t>t</w:t>
      </w:r>
      <w:r w:rsidR="007B0FAC" w:rsidRPr="00FA7766">
        <w:rPr>
          <w:sz w:val="22"/>
          <w:szCs w:val="22"/>
        </w:rPr>
        <w:t>his should also be reported by the clinician to the PHE Centre HPT, so that swabbing can be arranged as per existing local mechanisms.</w:t>
      </w:r>
    </w:p>
    <w:p w:rsidR="00181F47" w:rsidRDefault="00181F47" w:rsidP="00C44A8E">
      <w:pPr>
        <w:pStyle w:val="Default"/>
        <w:rPr>
          <w:sz w:val="22"/>
          <w:szCs w:val="22"/>
        </w:rPr>
      </w:pPr>
    </w:p>
    <w:p w:rsidR="00181F47" w:rsidRPr="00181F47" w:rsidRDefault="00181F47" w:rsidP="00C44A8E">
      <w:pPr>
        <w:pStyle w:val="Default"/>
        <w:rPr>
          <w:i/>
          <w:sz w:val="22"/>
          <w:szCs w:val="22"/>
        </w:rPr>
      </w:pPr>
      <w:r w:rsidRPr="00181F47">
        <w:rPr>
          <w:b/>
          <w:sz w:val="22"/>
          <w:szCs w:val="22"/>
        </w:rPr>
        <w:t>6.3</w:t>
      </w:r>
      <w:r>
        <w:rPr>
          <w:sz w:val="22"/>
          <w:szCs w:val="22"/>
        </w:rPr>
        <w:t xml:space="preserve"> </w:t>
      </w:r>
      <w:r w:rsidR="00F752DF">
        <w:rPr>
          <w:sz w:val="22"/>
          <w:szCs w:val="22"/>
        </w:rPr>
        <w:t>Annex A should be completed for each patient receiving anti-viral treatment under this specification</w:t>
      </w:r>
    </w:p>
    <w:p w:rsidR="007B0FAC" w:rsidRDefault="007B0FAC" w:rsidP="00C44A8E">
      <w:pPr>
        <w:pStyle w:val="Default"/>
        <w:rPr>
          <w:color w:val="auto"/>
          <w:sz w:val="23"/>
          <w:szCs w:val="23"/>
        </w:rPr>
      </w:pPr>
    </w:p>
    <w:p w:rsidR="00C44A8E" w:rsidRPr="00C3468E" w:rsidRDefault="00C44A8E" w:rsidP="00C44A8E">
      <w:pPr>
        <w:pStyle w:val="Default"/>
        <w:rPr>
          <w:b/>
          <w:bCs/>
          <w:color w:val="auto"/>
          <w:sz w:val="36"/>
          <w:szCs w:val="36"/>
        </w:rPr>
      </w:pPr>
      <w:r w:rsidRPr="00C3468E">
        <w:rPr>
          <w:b/>
          <w:bCs/>
          <w:color w:val="auto"/>
          <w:sz w:val="36"/>
          <w:szCs w:val="36"/>
        </w:rPr>
        <w:t xml:space="preserve">7. Payment arrangements </w:t>
      </w:r>
    </w:p>
    <w:p w:rsidR="00C44A8E" w:rsidRPr="00D172DB" w:rsidRDefault="00C44A8E" w:rsidP="00C44A8E">
      <w:pPr>
        <w:pStyle w:val="Default"/>
        <w:rPr>
          <w:color w:val="auto"/>
          <w:sz w:val="22"/>
          <w:szCs w:val="22"/>
        </w:rPr>
      </w:pPr>
    </w:p>
    <w:p w:rsidR="00C44A8E" w:rsidRPr="00D172DB" w:rsidRDefault="00C44A8E" w:rsidP="00C44A8E">
      <w:pPr>
        <w:pStyle w:val="Default"/>
        <w:rPr>
          <w:color w:val="auto"/>
          <w:sz w:val="22"/>
          <w:szCs w:val="22"/>
        </w:rPr>
      </w:pPr>
      <w:r w:rsidRPr="00D172DB">
        <w:rPr>
          <w:b/>
          <w:color w:val="auto"/>
          <w:sz w:val="22"/>
          <w:szCs w:val="22"/>
        </w:rPr>
        <w:t>7.3</w:t>
      </w:r>
      <w:r w:rsidRPr="00D172DB">
        <w:rPr>
          <w:color w:val="auto"/>
          <w:sz w:val="22"/>
          <w:szCs w:val="22"/>
        </w:rPr>
        <w:t xml:space="preserve"> The </w:t>
      </w:r>
      <w:r w:rsidR="009426DB" w:rsidRPr="00D172DB">
        <w:rPr>
          <w:color w:val="auto"/>
          <w:sz w:val="22"/>
          <w:szCs w:val="22"/>
        </w:rPr>
        <w:t>Provider</w:t>
      </w:r>
      <w:r w:rsidRPr="00D172DB">
        <w:rPr>
          <w:color w:val="auto"/>
          <w:sz w:val="22"/>
          <w:szCs w:val="22"/>
        </w:rPr>
        <w:t xml:space="preserve"> must complete the service claim form</w:t>
      </w:r>
      <w:r w:rsidR="00F752DF">
        <w:rPr>
          <w:color w:val="auto"/>
          <w:sz w:val="22"/>
          <w:szCs w:val="22"/>
        </w:rPr>
        <w:t xml:space="preserve"> (to be agreed by XXXXXXXX CCG)</w:t>
      </w:r>
      <w:r w:rsidR="004A7372">
        <w:rPr>
          <w:color w:val="auto"/>
          <w:sz w:val="22"/>
          <w:szCs w:val="22"/>
        </w:rPr>
        <w:t xml:space="preserve"> at</w:t>
      </w:r>
      <w:r w:rsidR="00F752DF">
        <w:rPr>
          <w:color w:val="auto"/>
          <w:sz w:val="22"/>
          <w:szCs w:val="22"/>
        </w:rPr>
        <w:t xml:space="preserve"> </w:t>
      </w:r>
      <w:r w:rsidRPr="00D172DB">
        <w:rPr>
          <w:color w:val="auto"/>
          <w:sz w:val="22"/>
          <w:szCs w:val="22"/>
        </w:rPr>
        <w:t xml:space="preserve">and submit this to the </w:t>
      </w:r>
      <w:r w:rsidR="000748DA" w:rsidRPr="00D172DB">
        <w:rPr>
          <w:color w:val="auto"/>
          <w:sz w:val="22"/>
          <w:szCs w:val="22"/>
        </w:rPr>
        <w:t>Commissioner</w:t>
      </w:r>
      <w:r w:rsidRPr="00D172DB">
        <w:rPr>
          <w:color w:val="auto"/>
          <w:sz w:val="22"/>
          <w:szCs w:val="22"/>
        </w:rPr>
        <w:t xml:space="preserve"> </w:t>
      </w:r>
      <w:r w:rsidR="006D49C8">
        <w:rPr>
          <w:color w:val="auto"/>
          <w:sz w:val="22"/>
          <w:szCs w:val="22"/>
        </w:rPr>
        <w:t xml:space="preserve">within 10 working days following the end of </w:t>
      </w:r>
      <w:r w:rsidRPr="00D172DB">
        <w:rPr>
          <w:color w:val="auto"/>
          <w:sz w:val="22"/>
          <w:szCs w:val="22"/>
        </w:rPr>
        <w:t xml:space="preserve">each month to claim payment for this service. </w:t>
      </w:r>
    </w:p>
    <w:p w:rsidR="00C44A8E" w:rsidRPr="00D172DB" w:rsidRDefault="00C44A8E" w:rsidP="00C44A8E">
      <w:pPr>
        <w:pStyle w:val="Default"/>
        <w:rPr>
          <w:color w:val="auto"/>
          <w:sz w:val="22"/>
          <w:szCs w:val="22"/>
        </w:rPr>
      </w:pPr>
    </w:p>
    <w:p w:rsidR="00161AF6" w:rsidRDefault="00C44A8E" w:rsidP="006D49C8">
      <w:pPr>
        <w:pStyle w:val="Default"/>
        <w:rPr>
          <w:color w:val="auto"/>
          <w:sz w:val="22"/>
          <w:szCs w:val="22"/>
        </w:rPr>
      </w:pPr>
      <w:r w:rsidRPr="003A6360">
        <w:rPr>
          <w:b/>
          <w:color w:val="auto"/>
          <w:sz w:val="22"/>
          <w:szCs w:val="22"/>
        </w:rPr>
        <w:t>7.5</w:t>
      </w:r>
      <w:r w:rsidRPr="003A6360">
        <w:rPr>
          <w:color w:val="auto"/>
          <w:sz w:val="22"/>
          <w:szCs w:val="22"/>
        </w:rPr>
        <w:t xml:space="preserve"> Payment will be</w:t>
      </w:r>
      <w:r w:rsidRPr="00463FC9">
        <w:rPr>
          <w:i/>
          <w:color w:val="FF0000"/>
          <w:sz w:val="22"/>
          <w:szCs w:val="22"/>
        </w:rPr>
        <w:t xml:space="preserve"> </w:t>
      </w:r>
    </w:p>
    <w:p w:rsidR="00161AF6" w:rsidRDefault="00161AF6" w:rsidP="006D49C8">
      <w:pPr>
        <w:pStyle w:val="Default"/>
        <w:rPr>
          <w:color w:val="auto"/>
          <w:sz w:val="22"/>
          <w:szCs w:val="22"/>
        </w:rPr>
      </w:pPr>
    </w:p>
    <w:p w:rsidR="00C44A8E" w:rsidRPr="006D49C8" w:rsidRDefault="00F752DF" w:rsidP="006D49C8">
      <w:pPr>
        <w:pStyle w:val="Default"/>
        <w:rPr>
          <w:color w:val="auto"/>
          <w:sz w:val="22"/>
          <w:szCs w:val="22"/>
        </w:rPr>
      </w:pPr>
      <w:r>
        <w:rPr>
          <w:color w:val="auto"/>
          <w:sz w:val="22"/>
          <w:szCs w:val="22"/>
        </w:rPr>
        <w:t xml:space="preserve">£30 </w:t>
      </w:r>
      <w:r w:rsidR="00C44A8E" w:rsidRPr="00D172DB">
        <w:rPr>
          <w:color w:val="auto"/>
          <w:sz w:val="22"/>
          <w:szCs w:val="22"/>
        </w:rPr>
        <w:t>per</w:t>
      </w:r>
      <w:r w:rsidR="006D49C8">
        <w:rPr>
          <w:color w:val="auto"/>
          <w:sz w:val="22"/>
          <w:szCs w:val="22"/>
        </w:rPr>
        <w:t xml:space="preserve"> administered </w:t>
      </w:r>
      <w:r w:rsidR="000A254F">
        <w:rPr>
          <w:color w:val="auto"/>
          <w:sz w:val="22"/>
          <w:szCs w:val="22"/>
        </w:rPr>
        <w:t>dose of antiviral</w:t>
      </w:r>
      <w:r w:rsidR="006D49C8">
        <w:rPr>
          <w:color w:val="auto"/>
          <w:sz w:val="22"/>
          <w:szCs w:val="22"/>
        </w:rPr>
        <w:t xml:space="preserve">. </w:t>
      </w:r>
    </w:p>
    <w:p w:rsidR="00181F47" w:rsidRDefault="00181F47">
      <w:pPr>
        <w:rPr>
          <w:b/>
          <w:bCs/>
          <w:sz w:val="36"/>
          <w:szCs w:val="36"/>
        </w:rPr>
      </w:pPr>
    </w:p>
    <w:p w:rsidR="00181F47" w:rsidRDefault="00181F47">
      <w:pPr>
        <w:rPr>
          <w:b/>
          <w:bCs/>
          <w:sz w:val="36"/>
          <w:szCs w:val="36"/>
        </w:rPr>
      </w:pPr>
      <w:r>
        <w:rPr>
          <w:b/>
          <w:bCs/>
          <w:sz w:val="36"/>
          <w:szCs w:val="36"/>
        </w:rPr>
        <w:t>8. Termination</w:t>
      </w:r>
    </w:p>
    <w:p w:rsidR="00181F47" w:rsidRPr="00181F47" w:rsidRDefault="00181F47">
      <w:pPr>
        <w:rPr>
          <w:b/>
          <w:bCs/>
        </w:rPr>
      </w:pPr>
    </w:p>
    <w:p w:rsidR="00181F47" w:rsidRDefault="00181F47" w:rsidP="00181F47">
      <w:pPr>
        <w:pStyle w:val="Default"/>
        <w:rPr>
          <w:color w:val="auto"/>
          <w:sz w:val="22"/>
          <w:szCs w:val="22"/>
        </w:rPr>
      </w:pPr>
      <w:r>
        <w:rPr>
          <w:b/>
          <w:color w:val="auto"/>
          <w:sz w:val="22"/>
          <w:szCs w:val="22"/>
        </w:rPr>
        <w:t>8.1</w:t>
      </w:r>
      <w:r w:rsidRPr="00D172DB">
        <w:rPr>
          <w:color w:val="auto"/>
          <w:sz w:val="22"/>
          <w:szCs w:val="22"/>
        </w:rPr>
        <w:t xml:space="preserve"> </w:t>
      </w:r>
      <w:r>
        <w:rPr>
          <w:color w:val="auto"/>
          <w:sz w:val="22"/>
          <w:szCs w:val="22"/>
        </w:rPr>
        <w:t xml:space="preserve">The service will commence on </w:t>
      </w:r>
      <w:r w:rsidRPr="00323AC4">
        <w:rPr>
          <w:i/>
          <w:color w:val="FF0000"/>
          <w:sz w:val="22"/>
          <w:szCs w:val="22"/>
        </w:rPr>
        <w:t>[TBC]</w:t>
      </w:r>
      <w:r w:rsidRPr="00323AC4">
        <w:rPr>
          <w:color w:val="FF0000"/>
          <w:sz w:val="22"/>
          <w:szCs w:val="22"/>
        </w:rPr>
        <w:t xml:space="preserve"> </w:t>
      </w:r>
      <w:r>
        <w:rPr>
          <w:color w:val="auto"/>
          <w:sz w:val="22"/>
          <w:szCs w:val="22"/>
        </w:rPr>
        <w:t xml:space="preserve">and will terminate on </w:t>
      </w:r>
      <w:r w:rsidRPr="00323AC4">
        <w:rPr>
          <w:i/>
          <w:color w:val="FF0000"/>
          <w:sz w:val="22"/>
          <w:szCs w:val="22"/>
        </w:rPr>
        <w:t>[TBC]</w:t>
      </w:r>
    </w:p>
    <w:p w:rsidR="00181F47" w:rsidRDefault="00181F47" w:rsidP="00181F47">
      <w:pPr>
        <w:pStyle w:val="Default"/>
        <w:rPr>
          <w:color w:val="auto"/>
          <w:sz w:val="22"/>
          <w:szCs w:val="22"/>
        </w:rPr>
      </w:pPr>
    </w:p>
    <w:p w:rsidR="00181F47" w:rsidRDefault="00181F47" w:rsidP="00181F47">
      <w:pPr>
        <w:pStyle w:val="Default"/>
        <w:rPr>
          <w:color w:val="auto"/>
          <w:sz w:val="22"/>
          <w:szCs w:val="22"/>
        </w:rPr>
      </w:pPr>
      <w:r w:rsidRPr="00181F47">
        <w:rPr>
          <w:b/>
          <w:color w:val="auto"/>
          <w:sz w:val="22"/>
          <w:szCs w:val="22"/>
        </w:rPr>
        <w:t>8.2</w:t>
      </w:r>
      <w:r>
        <w:rPr>
          <w:color w:val="auto"/>
          <w:sz w:val="22"/>
          <w:szCs w:val="22"/>
        </w:rPr>
        <w:t xml:space="preserve"> The service many be terminated by the Provider subject to 3 months’ notice having been given to</w:t>
      </w:r>
      <w:r w:rsidRPr="00D172DB">
        <w:rPr>
          <w:color w:val="auto"/>
          <w:sz w:val="22"/>
          <w:szCs w:val="22"/>
        </w:rPr>
        <w:t xml:space="preserve"> the Commissioner that</w:t>
      </w:r>
      <w:r>
        <w:rPr>
          <w:color w:val="auto"/>
          <w:sz w:val="22"/>
          <w:szCs w:val="22"/>
        </w:rPr>
        <w:t xml:space="preserve"> it </w:t>
      </w:r>
      <w:r w:rsidRPr="00D172DB">
        <w:rPr>
          <w:color w:val="auto"/>
          <w:sz w:val="22"/>
          <w:szCs w:val="22"/>
        </w:rPr>
        <w:t>no longer</w:t>
      </w:r>
      <w:r>
        <w:rPr>
          <w:color w:val="auto"/>
          <w:sz w:val="22"/>
          <w:szCs w:val="22"/>
        </w:rPr>
        <w:t xml:space="preserve"> intends to provide the service.</w:t>
      </w:r>
    </w:p>
    <w:p w:rsidR="00181F47" w:rsidRDefault="00181F47" w:rsidP="00181F47">
      <w:pPr>
        <w:pStyle w:val="Default"/>
        <w:rPr>
          <w:color w:val="auto"/>
          <w:sz w:val="22"/>
          <w:szCs w:val="22"/>
        </w:rPr>
      </w:pPr>
    </w:p>
    <w:p w:rsidR="00181F47" w:rsidRPr="00D172DB" w:rsidRDefault="00181F47" w:rsidP="00181F47">
      <w:pPr>
        <w:pStyle w:val="Default"/>
        <w:rPr>
          <w:color w:val="auto"/>
          <w:sz w:val="22"/>
          <w:szCs w:val="22"/>
        </w:rPr>
      </w:pPr>
      <w:r w:rsidRPr="00181F47">
        <w:rPr>
          <w:b/>
          <w:color w:val="auto"/>
          <w:sz w:val="22"/>
          <w:szCs w:val="22"/>
        </w:rPr>
        <w:t>8.3</w:t>
      </w:r>
      <w:r>
        <w:rPr>
          <w:color w:val="auto"/>
          <w:sz w:val="22"/>
          <w:szCs w:val="22"/>
        </w:rPr>
        <w:t xml:space="preserve"> The service may be terminated by the Commissioner subject to 3 months’ notice having been given that it no longer intends to commission the service.</w:t>
      </w:r>
    </w:p>
    <w:p w:rsidR="009C2084" w:rsidRDefault="002A679E" w:rsidP="00323AC4">
      <w:pPr>
        <w:rPr>
          <w:sz w:val="36"/>
          <w:szCs w:val="36"/>
        </w:rPr>
      </w:pPr>
      <w:r>
        <w:rPr>
          <w:b/>
          <w:bCs/>
          <w:sz w:val="36"/>
          <w:szCs w:val="36"/>
        </w:rPr>
        <w:br w:type="page"/>
      </w:r>
      <w:r w:rsidR="002326CE">
        <w:rPr>
          <w:b/>
          <w:bCs/>
          <w:sz w:val="36"/>
          <w:szCs w:val="36"/>
        </w:rPr>
        <w:lastRenderedPageBreak/>
        <w:t>Annex A</w:t>
      </w:r>
      <w:r w:rsidR="000436AD">
        <w:rPr>
          <w:b/>
          <w:bCs/>
          <w:sz w:val="36"/>
          <w:szCs w:val="36"/>
        </w:rPr>
        <w:t>:</w:t>
      </w:r>
      <w:r w:rsidR="00F752DF">
        <w:rPr>
          <w:b/>
          <w:bCs/>
          <w:sz w:val="36"/>
          <w:szCs w:val="36"/>
        </w:rPr>
        <w:t xml:space="preserve"> </w:t>
      </w:r>
      <w:r w:rsidR="000436AD">
        <w:rPr>
          <w:b/>
          <w:bCs/>
          <w:sz w:val="36"/>
          <w:szCs w:val="36"/>
        </w:rPr>
        <w:t>Influenza Antiviral</w:t>
      </w:r>
      <w:r w:rsidR="009C2084">
        <w:rPr>
          <w:b/>
          <w:bCs/>
          <w:sz w:val="36"/>
          <w:szCs w:val="36"/>
        </w:rPr>
        <w:t xml:space="preserve"> Advanced Service - Record &amp; Consent Form </w:t>
      </w:r>
    </w:p>
    <w:p w:rsidR="009C2084" w:rsidRDefault="009C2084" w:rsidP="009C2084">
      <w:pPr>
        <w:rPr>
          <w:sz w:val="20"/>
          <w:szCs w:val="20"/>
        </w:rPr>
      </w:pPr>
      <w:r>
        <w:rPr>
          <w:sz w:val="20"/>
          <w:szCs w:val="20"/>
        </w:rPr>
        <w:t>* indicates sections that must be completed</w:t>
      </w:r>
    </w:p>
    <w:p w:rsidR="009C2084" w:rsidRDefault="009C2084" w:rsidP="009C2084">
      <w:pPr>
        <w:rPr>
          <w:sz w:val="20"/>
          <w:szCs w:val="20"/>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787"/>
        <w:gridCol w:w="1575"/>
        <w:gridCol w:w="209"/>
        <w:gridCol w:w="1365"/>
        <w:gridCol w:w="788"/>
        <w:gridCol w:w="2363"/>
        <w:gridCol w:w="417"/>
      </w:tblGrid>
      <w:tr w:rsidR="009C2084" w:rsidRPr="009C2084" w:rsidTr="009C2084">
        <w:trPr>
          <w:trHeight w:val="131"/>
        </w:trPr>
        <w:tc>
          <w:tcPr>
            <w:tcW w:w="9866" w:type="dxa"/>
            <w:gridSpan w:val="8"/>
          </w:tcPr>
          <w:p w:rsidR="009C2084" w:rsidRPr="009C2084" w:rsidRDefault="009C2084" w:rsidP="009C2084">
            <w:pPr>
              <w:autoSpaceDE w:val="0"/>
              <w:autoSpaceDN w:val="0"/>
              <w:adjustRightInd w:val="0"/>
              <w:rPr>
                <w:color w:val="000000"/>
                <w:sz w:val="28"/>
                <w:szCs w:val="28"/>
              </w:rPr>
            </w:pPr>
            <w:r w:rsidRPr="009C2084">
              <w:rPr>
                <w:b/>
                <w:bCs/>
                <w:color w:val="000000"/>
                <w:sz w:val="28"/>
                <w:szCs w:val="28"/>
              </w:rPr>
              <w:t xml:space="preserve">Patient’s details </w:t>
            </w:r>
          </w:p>
        </w:tc>
      </w:tr>
      <w:tr w:rsidR="009C2084" w:rsidRPr="009C2084" w:rsidTr="009C2084">
        <w:trPr>
          <w:trHeight w:val="112"/>
        </w:trPr>
        <w:tc>
          <w:tcPr>
            <w:tcW w:w="9866" w:type="dxa"/>
            <w:gridSpan w:val="8"/>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First name* </w:t>
            </w:r>
          </w:p>
        </w:tc>
      </w:tr>
      <w:tr w:rsidR="009C2084" w:rsidRPr="009C2084" w:rsidTr="009C2084">
        <w:trPr>
          <w:trHeight w:val="112"/>
        </w:trPr>
        <w:tc>
          <w:tcPr>
            <w:tcW w:w="9866" w:type="dxa"/>
            <w:gridSpan w:val="8"/>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Surname* </w:t>
            </w:r>
          </w:p>
        </w:tc>
      </w:tr>
      <w:tr w:rsidR="009C2084" w:rsidRPr="009C2084" w:rsidTr="009C2084">
        <w:trPr>
          <w:trHeight w:val="112"/>
        </w:trPr>
        <w:tc>
          <w:tcPr>
            <w:tcW w:w="9866" w:type="dxa"/>
            <w:gridSpan w:val="8"/>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Address </w:t>
            </w:r>
          </w:p>
        </w:tc>
      </w:tr>
      <w:tr w:rsidR="009C2084" w:rsidRPr="009C2084" w:rsidTr="009C2084">
        <w:trPr>
          <w:trHeight w:val="112"/>
        </w:trPr>
        <w:tc>
          <w:tcPr>
            <w:tcW w:w="9866" w:type="dxa"/>
            <w:gridSpan w:val="8"/>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Postcode </w:t>
            </w:r>
          </w:p>
        </w:tc>
      </w:tr>
      <w:tr w:rsidR="009C2084" w:rsidRPr="009C2084" w:rsidTr="009C2084">
        <w:trPr>
          <w:trHeight w:val="112"/>
        </w:trPr>
        <w:tc>
          <w:tcPr>
            <w:tcW w:w="9866" w:type="dxa"/>
            <w:gridSpan w:val="8"/>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Telephone </w:t>
            </w:r>
          </w:p>
        </w:tc>
      </w:tr>
      <w:tr w:rsidR="009C2084" w:rsidRPr="009C2084" w:rsidTr="009C2084">
        <w:trPr>
          <w:trHeight w:val="114"/>
        </w:trPr>
        <w:tc>
          <w:tcPr>
            <w:tcW w:w="4933" w:type="dxa"/>
            <w:gridSpan w:val="4"/>
          </w:tcPr>
          <w:p w:rsidR="009C2084" w:rsidRPr="009C2084" w:rsidRDefault="009C2084" w:rsidP="009C2084">
            <w:pPr>
              <w:autoSpaceDE w:val="0"/>
              <w:autoSpaceDN w:val="0"/>
              <w:adjustRightInd w:val="0"/>
              <w:rPr>
                <w:color w:val="000000"/>
              </w:rPr>
            </w:pPr>
            <w:r w:rsidRPr="009C2084">
              <w:rPr>
                <w:color w:val="000000"/>
              </w:rPr>
              <w:t xml:space="preserve">Date of birth* </w:t>
            </w:r>
          </w:p>
        </w:tc>
        <w:tc>
          <w:tcPr>
            <w:tcW w:w="4933" w:type="dxa"/>
            <w:gridSpan w:val="4"/>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NHS Number </w:t>
            </w:r>
          </w:p>
        </w:tc>
      </w:tr>
      <w:tr w:rsidR="009C2084" w:rsidRPr="009C2084" w:rsidTr="009C2084">
        <w:trPr>
          <w:trHeight w:val="284"/>
        </w:trPr>
        <w:tc>
          <w:tcPr>
            <w:tcW w:w="9866" w:type="dxa"/>
            <w:gridSpan w:val="8"/>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GP practice* </w:t>
            </w:r>
          </w:p>
        </w:tc>
      </w:tr>
      <w:tr w:rsidR="009C2084" w:rsidRPr="009C2084" w:rsidTr="009C2084">
        <w:trPr>
          <w:trHeight w:val="131"/>
        </w:trPr>
        <w:tc>
          <w:tcPr>
            <w:tcW w:w="9866" w:type="dxa"/>
            <w:gridSpan w:val="8"/>
          </w:tcPr>
          <w:p w:rsidR="009C2084" w:rsidRPr="009C2084" w:rsidRDefault="009C2084" w:rsidP="009C2084">
            <w:pPr>
              <w:autoSpaceDE w:val="0"/>
              <w:autoSpaceDN w:val="0"/>
              <w:adjustRightInd w:val="0"/>
              <w:rPr>
                <w:color w:val="000000"/>
                <w:sz w:val="28"/>
                <w:szCs w:val="28"/>
              </w:rPr>
            </w:pPr>
            <w:r w:rsidRPr="009C2084">
              <w:rPr>
                <w:b/>
                <w:bCs/>
                <w:color w:val="000000"/>
                <w:sz w:val="28"/>
                <w:szCs w:val="28"/>
              </w:rPr>
              <w:t xml:space="preserve">Patient’s emergency contact </w:t>
            </w:r>
          </w:p>
        </w:tc>
      </w:tr>
      <w:tr w:rsidR="009C2084" w:rsidRPr="009C2084" w:rsidTr="009C2084">
        <w:trPr>
          <w:trHeight w:val="112"/>
        </w:trPr>
        <w:tc>
          <w:tcPr>
            <w:tcW w:w="9866" w:type="dxa"/>
            <w:gridSpan w:val="8"/>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Name </w:t>
            </w:r>
          </w:p>
        </w:tc>
      </w:tr>
      <w:tr w:rsidR="009C2084" w:rsidRPr="009C2084" w:rsidTr="009C2084">
        <w:trPr>
          <w:trHeight w:val="112"/>
        </w:trPr>
        <w:tc>
          <w:tcPr>
            <w:tcW w:w="9866" w:type="dxa"/>
            <w:gridSpan w:val="8"/>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Telephone </w:t>
            </w:r>
          </w:p>
        </w:tc>
      </w:tr>
      <w:tr w:rsidR="009C2084" w:rsidRPr="009C2084" w:rsidTr="009C2084">
        <w:trPr>
          <w:trHeight w:val="112"/>
        </w:trPr>
        <w:tc>
          <w:tcPr>
            <w:tcW w:w="9866" w:type="dxa"/>
            <w:gridSpan w:val="8"/>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Relationship to patient </w:t>
            </w:r>
          </w:p>
        </w:tc>
      </w:tr>
      <w:tr w:rsidR="009C2084" w:rsidRPr="009C2084" w:rsidTr="009C2084">
        <w:trPr>
          <w:trHeight w:val="131"/>
        </w:trPr>
        <w:tc>
          <w:tcPr>
            <w:tcW w:w="9866" w:type="dxa"/>
            <w:gridSpan w:val="8"/>
          </w:tcPr>
          <w:p w:rsidR="009C2084" w:rsidRPr="009C2084" w:rsidRDefault="009C2084" w:rsidP="009C2084">
            <w:pPr>
              <w:autoSpaceDE w:val="0"/>
              <w:autoSpaceDN w:val="0"/>
              <w:adjustRightInd w:val="0"/>
              <w:rPr>
                <w:color w:val="000000"/>
                <w:sz w:val="28"/>
                <w:szCs w:val="28"/>
              </w:rPr>
            </w:pPr>
            <w:r w:rsidRPr="009C2084">
              <w:rPr>
                <w:b/>
                <w:bCs/>
                <w:color w:val="000000"/>
                <w:sz w:val="28"/>
                <w:szCs w:val="28"/>
              </w:rPr>
              <w:t xml:space="preserve">Patient consent </w:t>
            </w:r>
          </w:p>
        </w:tc>
      </w:tr>
      <w:tr w:rsidR="009C2084" w:rsidRPr="009C2084" w:rsidTr="000436AD">
        <w:trPr>
          <w:trHeight w:val="1213"/>
        </w:trPr>
        <w:tc>
          <w:tcPr>
            <w:tcW w:w="9866" w:type="dxa"/>
            <w:gridSpan w:val="8"/>
          </w:tcPr>
          <w:p w:rsidR="009C2084" w:rsidRPr="009C2084" w:rsidRDefault="009C2084" w:rsidP="009C2084">
            <w:pPr>
              <w:autoSpaceDE w:val="0"/>
              <w:autoSpaceDN w:val="0"/>
              <w:adjustRightInd w:val="0"/>
              <w:rPr>
                <w:sz w:val="24"/>
                <w:szCs w:val="24"/>
              </w:rPr>
            </w:pPr>
          </w:p>
          <w:p w:rsidR="009C2084" w:rsidRPr="009C2084" w:rsidRDefault="009C2084" w:rsidP="009C2084">
            <w:pPr>
              <w:autoSpaceDE w:val="0"/>
              <w:autoSpaceDN w:val="0"/>
              <w:adjustRightInd w:val="0"/>
              <w:rPr>
                <w:color w:val="000000"/>
                <w:sz w:val="24"/>
                <w:szCs w:val="24"/>
              </w:rPr>
            </w:pPr>
            <w:r w:rsidRPr="009C2084">
              <w:rPr>
                <w:color w:val="000000"/>
                <w:sz w:val="24"/>
                <w:szCs w:val="24"/>
              </w:rPr>
              <w:t xml:space="preserve">1. I </w:t>
            </w:r>
            <w:r w:rsidR="000436AD">
              <w:rPr>
                <w:color w:val="000000"/>
                <w:sz w:val="24"/>
                <w:szCs w:val="24"/>
              </w:rPr>
              <w:t>agree to be given an influenza antiviral</w:t>
            </w:r>
            <w:r w:rsidRPr="009C2084">
              <w:rPr>
                <w:color w:val="000000"/>
                <w:sz w:val="24"/>
                <w:szCs w:val="24"/>
              </w:rPr>
              <w:t xml:space="preserve">. </w:t>
            </w:r>
          </w:p>
          <w:p w:rsidR="009C2084" w:rsidRPr="009C2084" w:rsidRDefault="000436AD" w:rsidP="009C2084">
            <w:pPr>
              <w:autoSpaceDE w:val="0"/>
              <w:autoSpaceDN w:val="0"/>
              <w:adjustRightInd w:val="0"/>
              <w:rPr>
                <w:color w:val="000000"/>
                <w:sz w:val="24"/>
                <w:szCs w:val="24"/>
              </w:rPr>
            </w:pPr>
            <w:r>
              <w:rPr>
                <w:color w:val="000000"/>
                <w:sz w:val="24"/>
                <w:szCs w:val="24"/>
              </w:rPr>
              <w:t>2</w:t>
            </w:r>
            <w:r w:rsidR="009C2084" w:rsidRPr="009C2084">
              <w:rPr>
                <w:color w:val="000000"/>
                <w:sz w:val="24"/>
                <w:szCs w:val="24"/>
              </w:rPr>
              <w:t xml:space="preserve">. I declare that the information I have given on this form is correct and complete. </w:t>
            </w:r>
          </w:p>
          <w:p w:rsidR="009C2084" w:rsidRPr="009C2084" w:rsidRDefault="009C2084" w:rsidP="000436AD">
            <w:pPr>
              <w:autoSpaceDE w:val="0"/>
              <w:autoSpaceDN w:val="0"/>
              <w:adjustRightInd w:val="0"/>
              <w:rPr>
                <w:color w:val="000000"/>
                <w:sz w:val="28"/>
                <w:szCs w:val="28"/>
              </w:rPr>
            </w:pPr>
          </w:p>
        </w:tc>
      </w:tr>
      <w:tr w:rsidR="009C2084" w:rsidRPr="009C2084" w:rsidTr="009C2084">
        <w:trPr>
          <w:trHeight w:val="112"/>
        </w:trPr>
        <w:tc>
          <w:tcPr>
            <w:tcW w:w="4933" w:type="dxa"/>
            <w:gridSpan w:val="4"/>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Signature </w:t>
            </w:r>
          </w:p>
        </w:tc>
        <w:tc>
          <w:tcPr>
            <w:tcW w:w="4933" w:type="dxa"/>
            <w:gridSpan w:val="4"/>
          </w:tcPr>
          <w:p w:rsidR="009C2084" w:rsidRPr="009C2084" w:rsidRDefault="009C2084" w:rsidP="009C2084">
            <w:pPr>
              <w:autoSpaceDE w:val="0"/>
              <w:autoSpaceDN w:val="0"/>
              <w:adjustRightInd w:val="0"/>
              <w:rPr>
                <w:color w:val="000000"/>
                <w:sz w:val="23"/>
                <w:szCs w:val="23"/>
              </w:rPr>
            </w:pPr>
            <w:r w:rsidRPr="009C2084">
              <w:rPr>
                <w:color w:val="000000"/>
                <w:sz w:val="23"/>
                <w:szCs w:val="23"/>
              </w:rPr>
              <w:t xml:space="preserve">Date </w:t>
            </w:r>
          </w:p>
        </w:tc>
      </w:tr>
      <w:tr w:rsidR="009C2084" w:rsidRPr="009C2084" w:rsidTr="009C2084">
        <w:trPr>
          <w:gridAfter w:val="1"/>
          <w:wAfter w:w="417" w:type="dxa"/>
          <w:trHeight w:val="131"/>
        </w:trPr>
        <w:tc>
          <w:tcPr>
            <w:tcW w:w="9449" w:type="dxa"/>
            <w:gridSpan w:val="7"/>
          </w:tcPr>
          <w:p w:rsidR="009C2084" w:rsidRPr="009C2084" w:rsidRDefault="009C2084" w:rsidP="009C2084">
            <w:pPr>
              <w:autoSpaceDE w:val="0"/>
              <w:autoSpaceDN w:val="0"/>
              <w:adjustRightInd w:val="0"/>
              <w:rPr>
                <w:color w:val="000000"/>
                <w:sz w:val="28"/>
                <w:szCs w:val="28"/>
              </w:rPr>
            </w:pPr>
            <w:r>
              <w:rPr>
                <w:b/>
                <w:bCs/>
                <w:color w:val="000000"/>
                <w:sz w:val="28"/>
                <w:szCs w:val="28"/>
              </w:rPr>
              <w:t xml:space="preserve">To be completed by Provider </w:t>
            </w:r>
            <w:r w:rsidRPr="009C2084">
              <w:rPr>
                <w:b/>
                <w:bCs/>
                <w:color w:val="000000"/>
                <w:sz w:val="28"/>
                <w:szCs w:val="28"/>
              </w:rPr>
              <w:t xml:space="preserve">staff </w:t>
            </w:r>
            <w:r w:rsidR="000436AD" w:rsidRPr="000436AD">
              <w:rPr>
                <w:bCs/>
                <w:i/>
                <w:color w:val="000000"/>
              </w:rPr>
              <w:t>[To be edited]</w:t>
            </w:r>
          </w:p>
        </w:tc>
      </w:tr>
      <w:tr w:rsidR="000436AD" w:rsidRPr="000436AD" w:rsidTr="009C2084">
        <w:trPr>
          <w:gridAfter w:val="1"/>
          <w:wAfter w:w="417" w:type="dxa"/>
          <w:trHeight w:val="112"/>
        </w:trPr>
        <w:tc>
          <w:tcPr>
            <w:tcW w:w="9449" w:type="dxa"/>
            <w:gridSpan w:val="7"/>
          </w:tcPr>
          <w:p w:rsidR="009C2084" w:rsidRPr="000436AD" w:rsidRDefault="009C2084" w:rsidP="009C2084">
            <w:pPr>
              <w:autoSpaceDE w:val="0"/>
              <w:autoSpaceDN w:val="0"/>
              <w:adjustRightInd w:val="0"/>
              <w:rPr>
                <w:color w:val="FF0000"/>
                <w:sz w:val="23"/>
                <w:szCs w:val="23"/>
              </w:rPr>
            </w:pPr>
            <w:r w:rsidRPr="000436AD">
              <w:rPr>
                <w:color w:val="FF0000"/>
                <w:sz w:val="23"/>
                <w:szCs w:val="23"/>
              </w:rPr>
              <w:t xml:space="preserve">Any allergies </w:t>
            </w:r>
          </w:p>
        </w:tc>
      </w:tr>
      <w:tr w:rsidR="000436AD" w:rsidRPr="000436AD" w:rsidTr="009C2084">
        <w:trPr>
          <w:gridAfter w:val="1"/>
          <w:wAfter w:w="417" w:type="dxa"/>
          <w:trHeight w:val="114"/>
        </w:trPr>
        <w:tc>
          <w:tcPr>
            <w:tcW w:w="3149" w:type="dxa"/>
            <w:gridSpan w:val="2"/>
          </w:tcPr>
          <w:p w:rsidR="009C2084" w:rsidRPr="000436AD" w:rsidRDefault="009C2084" w:rsidP="009C2084">
            <w:pPr>
              <w:autoSpaceDE w:val="0"/>
              <w:autoSpaceDN w:val="0"/>
              <w:adjustRightInd w:val="0"/>
              <w:rPr>
                <w:color w:val="FF0000"/>
                <w:sz w:val="23"/>
                <w:szCs w:val="23"/>
              </w:rPr>
            </w:pPr>
            <w:r w:rsidRPr="000436AD">
              <w:rPr>
                <w:color w:val="FF0000"/>
                <w:sz w:val="23"/>
                <w:szCs w:val="23"/>
              </w:rPr>
              <w:t xml:space="preserve">Eligible patient group* </w:t>
            </w:r>
          </w:p>
        </w:tc>
        <w:tc>
          <w:tcPr>
            <w:tcW w:w="3149" w:type="dxa"/>
            <w:gridSpan w:val="3"/>
          </w:tcPr>
          <w:p w:rsidR="009C2084" w:rsidRPr="000436AD" w:rsidRDefault="009C2084" w:rsidP="009C2084">
            <w:pPr>
              <w:autoSpaceDE w:val="0"/>
              <w:autoSpaceDN w:val="0"/>
              <w:adjustRightInd w:val="0"/>
              <w:rPr>
                <w:color w:val="FF0000"/>
              </w:rPr>
            </w:pPr>
            <w:r w:rsidRPr="000436AD">
              <w:rPr>
                <w:color w:val="FF0000"/>
              </w:rPr>
              <w:t xml:space="preserve">Aged over 65 </w:t>
            </w:r>
          </w:p>
        </w:tc>
        <w:tc>
          <w:tcPr>
            <w:tcW w:w="3151" w:type="dxa"/>
            <w:gridSpan w:val="2"/>
          </w:tcPr>
          <w:p w:rsidR="009C2084" w:rsidRPr="000436AD" w:rsidRDefault="009C2084" w:rsidP="009C2084">
            <w:pPr>
              <w:autoSpaceDE w:val="0"/>
              <w:autoSpaceDN w:val="0"/>
              <w:adjustRightInd w:val="0"/>
              <w:rPr>
                <w:color w:val="FF0000"/>
              </w:rPr>
            </w:pPr>
            <w:r w:rsidRPr="000436AD">
              <w:rPr>
                <w:color w:val="FF0000"/>
              </w:rPr>
              <w:t xml:space="preserve">Chronic respiratory disease </w:t>
            </w:r>
          </w:p>
        </w:tc>
      </w:tr>
      <w:tr w:rsidR="000436AD" w:rsidRPr="000436AD" w:rsidTr="009C2084">
        <w:trPr>
          <w:gridAfter w:val="1"/>
          <w:wAfter w:w="417" w:type="dxa"/>
          <w:trHeight w:val="102"/>
        </w:trPr>
        <w:tc>
          <w:tcPr>
            <w:tcW w:w="4724" w:type="dxa"/>
            <w:gridSpan w:val="3"/>
          </w:tcPr>
          <w:p w:rsidR="009C2084" w:rsidRPr="000436AD" w:rsidRDefault="009C2084" w:rsidP="009C2084">
            <w:pPr>
              <w:autoSpaceDE w:val="0"/>
              <w:autoSpaceDN w:val="0"/>
              <w:adjustRightInd w:val="0"/>
              <w:rPr>
                <w:color w:val="FF0000"/>
              </w:rPr>
            </w:pPr>
            <w:r w:rsidRPr="000436AD">
              <w:rPr>
                <w:color w:val="FF0000"/>
              </w:rPr>
              <w:t xml:space="preserve">Chronic heart disease </w:t>
            </w:r>
          </w:p>
        </w:tc>
        <w:tc>
          <w:tcPr>
            <w:tcW w:w="4725" w:type="dxa"/>
            <w:gridSpan w:val="4"/>
          </w:tcPr>
          <w:p w:rsidR="009C2084" w:rsidRPr="000436AD" w:rsidRDefault="009C2084" w:rsidP="009C2084">
            <w:pPr>
              <w:autoSpaceDE w:val="0"/>
              <w:autoSpaceDN w:val="0"/>
              <w:adjustRightInd w:val="0"/>
              <w:rPr>
                <w:color w:val="FF0000"/>
              </w:rPr>
            </w:pPr>
            <w:r w:rsidRPr="000436AD">
              <w:rPr>
                <w:color w:val="FF0000"/>
              </w:rPr>
              <w:t xml:space="preserve">Chronic kidney disease </w:t>
            </w:r>
          </w:p>
        </w:tc>
      </w:tr>
      <w:tr w:rsidR="000436AD" w:rsidRPr="000436AD" w:rsidTr="009C2084">
        <w:trPr>
          <w:gridAfter w:val="1"/>
          <w:wAfter w:w="417" w:type="dxa"/>
          <w:trHeight w:val="102"/>
        </w:trPr>
        <w:tc>
          <w:tcPr>
            <w:tcW w:w="4724" w:type="dxa"/>
            <w:gridSpan w:val="3"/>
          </w:tcPr>
          <w:p w:rsidR="009C2084" w:rsidRPr="000436AD" w:rsidRDefault="009C2084" w:rsidP="009C2084">
            <w:pPr>
              <w:autoSpaceDE w:val="0"/>
              <w:autoSpaceDN w:val="0"/>
              <w:adjustRightInd w:val="0"/>
              <w:rPr>
                <w:color w:val="FF0000"/>
              </w:rPr>
            </w:pPr>
            <w:r w:rsidRPr="000436AD">
              <w:rPr>
                <w:color w:val="FF0000"/>
              </w:rPr>
              <w:t xml:space="preserve">Chronic liver disease </w:t>
            </w:r>
          </w:p>
        </w:tc>
        <w:tc>
          <w:tcPr>
            <w:tcW w:w="4725" w:type="dxa"/>
            <w:gridSpan w:val="4"/>
          </w:tcPr>
          <w:p w:rsidR="009C2084" w:rsidRPr="000436AD" w:rsidRDefault="009C2084" w:rsidP="009C2084">
            <w:pPr>
              <w:autoSpaceDE w:val="0"/>
              <w:autoSpaceDN w:val="0"/>
              <w:adjustRightInd w:val="0"/>
              <w:rPr>
                <w:color w:val="FF0000"/>
              </w:rPr>
            </w:pPr>
            <w:r w:rsidRPr="000436AD">
              <w:rPr>
                <w:color w:val="FF0000"/>
              </w:rPr>
              <w:t xml:space="preserve">Chronic neurological disease </w:t>
            </w:r>
          </w:p>
        </w:tc>
      </w:tr>
      <w:tr w:rsidR="000436AD" w:rsidRPr="000436AD" w:rsidTr="009C2084">
        <w:trPr>
          <w:gridAfter w:val="1"/>
          <w:wAfter w:w="417" w:type="dxa"/>
          <w:trHeight w:val="102"/>
        </w:trPr>
        <w:tc>
          <w:tcPr>
            <w:tcW w:w="4724" w:type="dxa"/>
            <w:gridSpan w:val="3"/>
          </w:tcPr>
          <w:p w:rsidR="009C2084" w:rsidRPr="000436AD" w:rsidRDefault="009C2084" w:rsidP="009C2084">
            <w:pPr>
              <w:autoSpaceDE w:val="0"/>
              <w:autoSpaceDN w:val="0"/>
              <w:adjustRightInd w:val="0"/>
              <w:rPr>
                <w:color w:val="FF0000"/>
              </w:rPr>
            </w:pPr>
            <w:r w:rsidRPr="000436AD">
              <w:rPr>
                <w:color w:val="FF0000"/>
              </w:rPr>
              <w:t xml:space="preserve">Diabetes </w:t>
            </w:r>
          </w:p>
        </w:tc>
        <w:tc>
          <w:tcPr>
            <w:tcW w:w="4725" w:type="dxa"/>
            <w:gridSpan w:val="4"/>
          </w:tcPr>
          <w:p w:rsidR="009C2084" w:rsidRPr="000436AD" w:rsidRDefault="009C2084" w:rsidP="009C2084">
            <w:pPr>
              <w:autoSpaceDE w:val="0"/>
              <w:autoSpaceDN w:val="0"/>
              <w:adjustRightInd w:val="0"/>
              <w:rPr>
                <w:color w:val="FF0000"/>
              </w:rPr>
            </w:pPr>
            <w:r w:rsidRPr="000436AD">
              <w:rPr>
                <w:color w:val="FF0000"/>
              </w:rPr>
              <w:t xml:space="preserve">Immunosuppression </w:t>
            </w:r>
          </w:p>
        </w:tc>
      </w:tr>
      <w:tr w:rsidR="000436AD" w:rsidRPr="000436AD" w:rsidTr="009C2084">
        <w:trPr>
          <w:gridAfter w:val="1"/>
          <w:wAfter w:w="417" w:type="dxa"/>
          <w:trHeight w:val="102"/>
        </w:trPr>
        <w:tc>
          <w:tcPr>
            <w:tcW w:w="4724" w:type="dxa"/>
            <w:gridSpan w:val="3"/>
          </w:tcPr>
          <w:p w:rsidR="009C2084" w:rsidRPr="000436AD" w:rsidRDefault="009C2084" w:rsidP="009C2084">
            <w:pPr>
              <w:autoSpaceDE w:val="0"/>
              <w:autoSpaceDN w:val="0"/>
              <w:adjustRightInd w:val="0"/>
              <w:rPr>
                <w:color w:val="FF0000"/>
              </w:rPr>
            </w:pPr>
            <w:r w:rsidRPr="000436AD">
              <w:rPr>
                <w:color w:val="FF0000"/>
              </w:rPr>
              <w:t xml:space="preserve">Splenic dysfunction </w:t>
            </w:r>
          </w:p>
        </w:tc>
        <w:tc>
          <w:tcPr>
            <w:tcW w:w="4725" w:type="dxa"/>
            <w:gridSpan w:val="4"/>
          </w:tcPr>
          <w:p w:rsidR="009C2084" w:rsidRPr="000436AD" w:rsidRDefault="009C2084" w:rsidP="009C2084">
            <w:pPr>
              <w:autoSpaceDE w:val="0"/>
              <w:autoSpaceDN w:val="0"/>
              <w:adjustRightInd w:val="0"/>
              <w:rPr>
                <w:color w:val="FF0000"/>
              </w:rPr>
            </w:pPr>
            <w:r w:rsidRPr="000436AD">
              <w:rPr>
                <w:color w:val="FF0000"/>
              </w:rPr>
              <w:t xml:space="preserve">Pregnant woman </w:t>
            </w:r>
          </w:p>
        </w:tc>
      </w:tr>
      <w:tr w:rsidR="000436AD" w:rsidRPr="000436AD" w:rsidTr="009C2084">
        <w:trPr>
          <w:gridAfter w:val="1"/>
          <w:wAfter w:w="417" w:type="dxa"/>
          <w:trHeight w:val="229"/>
        </w:trPr>
        <w:tc>
          <w:tcPr>
            <w:tcW w:w="4724" w:type="dxa"/>
            <w:gridSpan w:val="3"/>
          </w:tcPr>
          <w:p w:rsidR="009C2084" w:rsidRPr="000436AD" w:rsidRDefault="009C2084" w:rsidP="009C2084">
            <w:pPr>
              <w:autoSpaceDE w:val="0"/>
              <w:autoSpaceDN w:val="0"/>
              <w:adjustRightInd w:val="0"/>
              <w:rPr>
                <w:color w:val="FF0000"/>
              </w:rPr>
            </w:pPr>
            <w:r w:rsidRPr="000436AD">
              <w:rPr>
                <w:color w:val="FF0000"/>
              </w:rPr>
              <w:t xml:space="preserve">Person in long-stay residential or home </w:t>
            </w:r>
          </w:p>
        </w:tc>
        <w:tc>
          <w:tcPr>
            <w:tcW w:w="4725" w:type="dxa"/>
            <w:gridSpan w:val="4"/>
          </w:tcPr>
          <w:p w:rsidR="009C2084" w:rsidRPr="000436AD" w:rsidRDefault="009C2084" w:rsidP="009C2084">
            <w:pPr>
              <w:autoSpaceDE w:val="0"/>
              <w:autoSpaceDN w:val="0"/>
              <w:adjustRightInd w:val="0"/>
              <w:rPr>
                <w:color w:val="FF0000"/>
              </w:rPr>
            </w:pPr>
            <w:r w:rsidRPr="000436AD">
              <w:rPr>
                <w:color w:val="FF0000"/>
              </w:rPr>
              <w:t xml:space="preserve">Carer </w:t>
            </w:r>
          </w:p>
        </w:tc>
      </w:tr>
      <w:tr w:rsidR="000436AD" w:rsidRPr="000436AD" w:rsidTr="009C2084">
        <w:trPr>
          <w:gridAfter w:val="1"/>
          <w:wAfter w:w="417" w:type="dxa"/>
          <w:trHeight w:val="102"/>
        </w:trPr>
        <w:tc>
          <w:tcPr>
            <w:tcW w:w="9449" w:type="dxa"/>
            <w:gridSpan w:val="7"/>
          </w:tcPr>
          <w:p w:rsidR="009C2084" w:rsidRPr="000436AD" w:rsidRDefault="009C2084" w:rsidP="009C2084">
            <w:pPr>
              <w:autoSpaceDE w:val="0"/>
              <w:autoSpaceDN w:val="0"/>
              <w:adjustRightInd w:val="0"/>
              <w:rPr>
                <w:color w:val="FF0000"/>
              </w:rPr>
            </w:pPr>
            <w:r w:rsidRPr="000436AD">
              <w:rPr>
                <w:color w:val="FF0000"/>
              </w:rPr>
              <w:t xml:space="preserve">Household contact of immunocompromised individual </w:t>
            </w:r>
          </w:p>
        </w:tc>
      </w:tr>
      <w:tr w:rsidR="009C2084" w:rsidRPr="009C2084" w:rsidTr="009C2084">
        <w:trPr>
          <w:gridAfter w:val="1"/>
          <w:wAfter w:w="417" w:type="dxa"/>
          <w:trHeight w:val="131"/>
        </w:trPr>
        <w:tc>
          <w:tcPr>
            <w:tcW w:w="9449" w:type="dxa"/>
            <w:gridSpan w:val="7"/>
          </w:tcPr>
          <w:p w:rsidR="009C2084" w:rsidRPr="009C2084" w:rsidRDefault="000436AD" w:rsidP="009C2084">
            <w:pPr>
              <w:autoSpaceDE w:val="0"/>
              <w:autoSpaceDN w:val="0"/>
              <w:adjustRightInd w:val="0"/>
              <w:rPr>
                <w:color w:val="000000"/>
                <w:sz w:val="28"/>
                <w:szCs w:val="28"/>
              </w:rPr>
            </w:pPr>
            <w:r>
              <w:rPr>
                <w:b/>
                <w:bCs/>
                <w:color w:val="000000"/>
                <w:sz w:val="28"/>
                <w:szCs w:val="28"/>
              </w:rPr>
              <w:t>Antiviral</w:t>
            </w:r>
            <w:r w:rsidR="009C2084" w:rsidRPr="009C2084">
              <w:rPr>
                <w:b/>
                <w:bCs/>
                <w:color w:val="000000"/>
                <w:sz w:val="28"/>
                <w:szCs w:val="28"/>
              </w:rPr>
              <w:t xml:space="preserve"> details </w:t>
            </w:r>
          </w:p>
        </w:tc>
      </w:tr>
      <w:tr w:rsidR="009C2084" w:rsidRPr="009C2084" w:rsidTr="009C2084">
        <w:trPr>
          <w:gridAfter w:val="1"/>
          <w:wAfter w:w="417" w:type="dxa"/>
          <w:trHeight w:val="363"/>
        </w:trPr>
        <w:tc>
          <w:tcPr>
            <w:tcW w:w="2362" w:type="dxa"/>
          </w:tcPr>
          <w:p w:rsidR="009C2084" w:rsidRPr="009C2084" w:rsidRDefault="000436AD" w:rsidP="009C2084">
            <w:pPr>
              <w:autoSpaceDE w:val="0"/>
              <w:autoSpaceDN w:val="0"/>
              <w:adjustRightInd w:val="0"/>
              <w:rPr>
                <w:color w:val="000000"/>
                <w:sz w:val="20"/>
                <w:szCs w:val="20"/>
              </w:rPr>
            </w:pPr>
            <w:r>
              <w:rPr>
                <w:color w:val="000000"/>
                <w:sz w:val="20"/>
                <w:szCs w:val="20"/>
              </w:rPr>
              <w:t>Name of antiviral</w:t>
            </w:r>
            <w:r w:rsidR="009C2084" w:rsidRPr="009C2084">
              <w:rPr>
                <w:color w:val="000000"/>
                <w:sz w:val="20"/>
                <w:szCs w:val="20"/>
              </w:rPr>
              <w:t xml:space="preserve">/ manufacturer* </w:t>
            </w:r>
          </w:p>
        </w:tc>
        <w:tc>
          <w:tcPr>
            <w:tcW w:w="2362" w:type="dxa"/>
            <w:gridSpan w:val="2"/>
          </w:tcPr>
          <w:p w:rsidR="009C2084" w:rsidRPr="009C2084" w:rsidRDefault="000436AD" w:rsidP="009C2084">
            <w:pPr>
              <w:autoSpaceDE w:val="0"/>
              <w:autoSpaceDN w:val="0"/>
              <w:adjustRightInd w:val="0"/>
              <w:rPr>
                <w:color w:val="000000"/>
                <w:sz w:val="14"/>
                <w:szCs w:val="14"/>
              </w:rPr>
            </w:pPr>
            <w:r>
              <w:rPr>
                <w:color w:val="000000"/>
                <w:sz w:val="14"/>
                <w:szCs w:val="14"/>
              </w:rPr>
              <w:t>Apply</w:t>
            </w:r>
            <w:r w:rsidR="009C2084" w:rsidRPr="009C2084">
              <w:rPr>
                <w:color w:val="000000"/>
                <w:sz w:val="14"/>
                <w:szCs w:val="14"/>
              </w:rPr>
              <w:t xml:space="preserve"> sticker if available </w:t>
            </w:r>
          </w:p>
        </w:tc>
        <w:tc>
          <w:tcPr>
            <w:tcW w:w="2362" w:type="dxa"/>
            <w:gridSpan w:val="3"/>
          </w:tcPr>
          <w:p w:rsidR="009C2084" w:rsidRPr="009C2084" w:rsidRDefault="009C2084" w:rsidP="000436AD">
            <w:pPr>
              <w:autoSpaceDE w:val="0"/>
              <w:autoSpaceDN w:val="0"/>
              <w:adjustRightInd w:val="0"/>
              <w:rPr>
                <w:color w:val="000000"/>
                <w:sz w:val="20"/>
                <w:szCs w:val="20"/>
              </w:rPr>
            </w:pPr>
            <w:r w:rsidRPr="009C2084">
              <w:rPr>
                <w:color w:val="000000"/>
                <w:sz w:val="20"/>
                <w:szCs w:val="20"/>
              </w:rPr>
              <w:t xml:space="preserve">Date of </w:t>
            </w:r>
            <w:r w:rsidR="000436AD">
              <w:rPr>
                <w:color w:val="000000"/>
                <w:sz w:val="20"/>
                <w:szCs w:val="20"/>
              </w:rPr>
              <w:t>administration</w:t>
            </w:r>
            <w:r w:rsidRPr="009C2084">
              <w:rPr>
                <w:color w:val="000000"/>
                <w:sz w:val="20"/>
                <w:szCs w:val="20"/>
              </w:rPr>
              <w:t xml:space="preserve">* </w:t>
            </w:r>
          </w:p>
        </w:tc>
        <w:tc>
          <w:tcPr>
            <w:tcW w:w="2363" w:type="dxa"/>
          </w:tcPr>
          <w:p w:rsidR="009C2084" w:rsidRPr="009C2084" w:rsidRDefault="009C2084" w:rsidP="009C2084">
            <w:pPr>
              <w:autoSpaceDE w:val="0"/>
              <w:autoSpaceDN w:val="0"/>
              <w:adjustRightInd w:val="0"/>
              <w:rPr>
                <w:color w:val="000000"/>
                <w:sz w:val="16"/>
                <w:szCs w:val="16"/>
              </w:rPr>
            </w:pPr>
            <w:r w:rsidRPr="009C2084">
              <w:rPr>
                <w:color w:val="000000"/>
                <w:sz w:val="16"/>
                <w:szCs w:val="16"/>
              </w:rPr>
              <w:t xml:space="preserve">Pharmacy stamp </w:t>
            </w:r>
          </w:p>
        </w:tc>
      </w:tr>
      <w:tr w:rsidR="009C2084" w:rsidRPr="009C2084" w:rsidTr="009C2084">
        <w:trPr>
          <w:gridAfter w:val="1"/>
          <w:wAfter w:w="417" w:type="dxa"/>
          <w:trHeight w:val="321"/>
        </w:trPr>
        <w:tc>
          <w:tcPr>
            <w:tcW w:w="3149" w:type="dxa"/>
            <w:gridSpan w:val="2"/>
          </w:tcPr>
          <w:p w:rsidR="009C2084" w:rsidRPr="009C2084" w:rsidRDefault="009C2084" w:rsidP="009C2084">
            <w:pPr>
              <w:autoSpaceDE w:val="0"/>
              <w:autoSpaceDN w:val="0"/>
              <w:adjustRightInd w:val="0"/>
              <w:rPr>
                <w:color w:val="000000"/>
                <w:sz w:val="20"/>
                <w:szCs w:val="20"/>
              </w:rPr>
            </w:pPr>
            <w:r w:rsidRPr="009C2084">
              <w:rPr>
                <w:color w:val="000000"/>
                <w:sz w:val="20"/>
                <w:szCs w:val="20"/>
              </w:rPr>
              <w:t xml:space="preserve">Batch </w:t>
            </w:r>
          </w:p>
          <w:p w:rsidR="009C2084" w:rsidRPr="009C2084" w:rsidRDefault="009C2084" w:rsidP="009C2084">
            <w:pPr>
              <w:autoSpaceDE w:val="0"/>
              <w:autoSpaceDN w:val="0"/>
              <w:adjustRightInd w:val="0"/>
              <w:rPr>
                <w:color w:val="000000"/>
                <w:sz w:val="20"/>
                <w:szCs w:val="20"/>
              </w:rPr>
            </w:pPr>
            <w:r w:rsidRPr="009C2084">
              <w:rPr>
                <w:color w:val="000000"/>
                <w:sz w:val="20"/>
                <w:szCs w:val="20"/>
              </w:rPr>
              <w:t xml:space="preserve">Number* </w:t>
            </w:r>
          </w:p>
        </w:tc>
        <w:tc>
          <w:tcPr>
            <w:tcW w:w="3149" w:type="dxa"/>
            <w:gridSpan w:val="3"/>
          </w:tcPr>
          <w:p w:rsidR="009C2084" w:rsidRPr="009C2084" w:rsidRDefault="009C2084" w:rsidP="009C2084">
            <w:pPr>
              <w:autoSpaceDE w:val="0"/>
              <w:autoSpaceDN w:val="0"/>
              <w:adjustRightInd w:val="0"/>
              <w:rPr>
                <w:color w:val="000000"/>
                <w:sz w:val="20"/>
                <w:szCs w:val="20"/>
              </w:rPr>
            </w:pPr>
            <w:r w:rsidRPr="009C2084">
              <w:rPr>
                <w:color w:val="000000"/>
                <w:sz w:val="20"/>
                <w:szCs w:val="20"/>
              </w:rPr>
              <w:t xml:space="preserve">Injection site* </w:t>
            </w:r>
          </w:p>
        </w:tc>
        <w:tc>
          <w:tcPr>
            <w:tcW w:w="3151" w:type="dxa"/>
            <w:gridSpan w:val="2"/>
          </w:tcPr>
          <w:p w:rsidR="009C2084" w:rsidRPr="009C2084" w:rsidRDefault="009C2084" w:rsidP="009C2084">
            <w:pPr>
              <w:autoSpaceDE w:val="0"/>
              <w:autoSpaceDN w:val="0"/>
              <w:adjustRightInd w:val="0"/>
              <w:rPr>
                <w:color w:val="000000"/>
                <w:sz w:val="16"/>
                <w:szCs w:val="16"/>
              </w:rPr>
            </w:pPr>
            <w:r w:rsidRPr="009C2084">
              <w:rPr>
                <w:color w:val="000000"/>
                <w:sz w:val="16"/>
                <w:szCs w:val="16"/>
              </w:rPr>
              <w:t xml:space="preserve">Left upper arm </w:t>
            </w:r>
          </w:p>
          <w:p w:rsidR="009C2084" w:rsidRPr="009C2084" w:rsidRDefault="009C2084" w:rsidP="009C2084">
            <w:pPr>
              <w:autoSpaceDE w:val="0"/>
              <w:autoSpaceDN w:val="0"/>
              <w:adjustRightInd w:val="0"/>
              <w:rPr>
                <w:color w:val="000000"/>
                <w:sz w:val="16"/>
                <w:szCs w:val="16"/>
              </w:rPr>
            </w:pPr>
            <w:r w:rsidRPr="009C2084">
              <w:rPr>
                <w:color w:val="000000"/>
                <w:sz w:val="16"/>
                <w:szCs w:val="16"/>
              </w:rPr>
              <w:t xml:space="preserve">Right upper arm </w:t>
            </w:r>
          </w:p>
        </w:tc>
      </w:tr>
      <w:tr w:rsidR="009C2084" w:rsidRPr="009C2084" w:rsidTr="009C2084">
        <w:trPr>
          <w:gridAfter w:val="1"/>
          <w:wAfter w:w="417" w:type="dxa"/>
          <w:trHeight w:val="321"/>
        </w:trPr>
        <w:tc>
          <w:tcPr>
            <w:tcW w:w="3149" w:type="dxa"/>
            <w:gridSpan w:val="2"/>
          </w:tcPr>
          <w:p w:rsidR="009C2084" w:rsidRPr="009C2084" w:rsidRDefault="009C2084" w:rsidP="009C2084">
            <w:pPr>
              <w:autoSpaceDE w:val="0"/>
              <w:autoSpaceDN w:val="0"/>
              <w:adjustRightInd w:val="0"/>
              <w:rPr>
                <w:color w:val="000000"/>
                <w:sz w:val="20"/>
                <w:szCs w:val="20"/>
              </w:rPr>
            </w:pPr>
            <w:r w:rsidRPr="009C2084">
              <w:rPr>
                <w:color w:val="000000"/>
                <w:sz w:val="20"/>
                <w:szCs w:val="20"/>
              </w:rPr>
              <w:t xml:space="preserve">Expiry </w:t>
            </w:r>
          </w:p>
          <w:p w:rsidR="009C2084" w:rsidRPr="009C2084" w:rsidRDefault="009C2084" w:rsidP="009C2084">
            <w:pPr>
              <w:autoSpaceDE w:val="0"/>
              <w:autoSpaceDN w:val="0"/>
              <w:adjustRightInd w:val="0"/>
              <w:rPr>
                <w:color w:val="000000"/>
                <w:sz w:val="20"/>
                <w:szCs w:val="20"/>
              </w:rPr>
            </w:pPr>
            <w:r w:rsidRPr="009C2084">
              <w:rPr>
                <w:color w:val="000000"/>
                <w:sz w:val="20"/>
                <w:szCs w:val="20"/>
              </w:rPr>
              <w:t xml:space="preserve">Date* </w:t>
            </w:r>
          </w:p>
        </w:tc>
        <w:tc>
          <w:tcPr>
            <w:tcW w:w="3149" w:type="dxa"/>
            <w:gridSpan w:val="3"/>
          </w:tcPr>
          <w:p w:rsidR="009C2084" w:rsidRPr="009C2084" w:rsidRDefault="009C2084" w:rsidP="009C2084">
            <w:pPr>
              <w:autoSpaceDE w:val="0"/>
              <w:autoSpaceDN w:val="0"/>
              <w:adjustRightInd w:val="0"/>
              <w:rPr>
                <w:color w:val="000000"/>
                <w:sz w:val="20"/>
                <w:szCs w:val="20"/>
              </w:rPr>
            </w:pPr>
            <w:r w:rsidRPr="009C2084">
              <w:rPr>
                <w:color w:val="000000"/>
                <w:sz w:val="20"/>
                <w:szCs w:val="20"/>
              </w:rPr>
              <w:t xml:space="preserve">Route of administration* </w:t>
            </w:r>
          </w:p>
        </w:tc>
        <w:tc>
          <w:tcPr>
            <w:tcW w:w="3151" w:type="dxa"/>
            <w:gridSpan w:val="2"/>
          </w:tcPr>
          <w:p w:rsidR="009C2084" w:rsidRPr="009C2084" w:rsidRDefault="009C2084" w:rsidP="009C2084">
            <w:pPr>
              <w:autoSpaceDE w:val="0"/>
              <w:autoSpaceDN w:val="0"/>
              <w:adjustRightInd w:val="0"/>
              <w:rPr>
                <w:color w:val="000000"/>
                <w:sz w:val="16"/>
                <w:szCs w:val="16"/>
              </w:rPr>
            </w:pPr>
            <w:r w:rsidRPr="009C2084">
              <w:rPr>
                <w:color w:val="000000"/>
                <w:sz w:val="16"/>
                <w:szCs w:val="16"/>
              </w:rPr>
              <w:t xml:space="preserve">Intramuscular </w:t>
            </w:r>
          </w:p>
          <w:p w:rsidR="009C2084" w:rsidRPr="009C2084" w:rsidRDefault="009C2084" w:rsidP="009C2084">
            <w:pPr>
              <w:autoSpaceDE w:val="0"/>
              <w:autoSpaceDN w:val="0"/>
              <w:adjustRightInd w:val="0"/>
              <w:rPr>
                <w:color w:val="000000"/>
                <w:sz w:val="16"/>
                <w:szCs w:val="16"/>
              </w:rPr>
            </w:pPr>
            <w:r w:rsidRPr="009C2084">
              <w:rPr>
                <w:color w:val="000000"/>
                <w:sz w:val="16"/>
                <w:szCs w:val="16"/>
              </w:rPr>
              <w:t xml:space="preserve">Subcutaneous </w:t>
            </w:r>
          </w:p>
        </w:tc>
      </w:tr>
      <w:tr w:rsidR="009C2084" w:rsidRPr="009C2084" w:rsidTr="009C2084">
        <w:trPr>
          <w:gridAfter w:val="1"/>
          <w:wAfter w:w="417" w:type="dxa"/>
          <w:trHeight w:val="242"/>
        </w:trPr>
        <w:tc>
          <w:tcPr>
            <w:tcW w:w="9449" w:type="dxa"/>
            <w:gridSpan w:val="7"/>
          </w:tcPr>
          <w:p w:rsidR="009C2084" w:rsidRDefault="009C2084" w:rsidP="009C2084">
            <w:pPr>
              <w:autoSpaceDE w:val="0"/>
              <w:autoSpaceDN w:val="0"/>
              <w:adjustRightInd w:val="0"/>
              <w:rPr>
                <w:color w:val="000000"/>
                <w:sz w:val="20"/>
                <w:szCs w:val="20"/>
              </w:rPr>
            </w:pPr>
            <w:r w:rsidRPr="009C2084">
              <w:rPr>
                <w:color w:val="000000"/>
                <w:sz w:val="20"/>
                <w:szCs w:val="20"/>
              </w:rPr>
              <w:t xml:space="preserve">Any adverse effects* </w:t>
            </w:r>
          </w:p>
          <w:p w:rsidR="000436AD" w:rsidRPr="009C2084" w:rsidRDefault="000436AD" w:rsidP="009C2084">
            <w:pPr>
              <w:autoSpaceDE w:val="0"/>
              <w:autoSpaceDN w:val="0"/>
              <w:adjustRightInd w:val="0"/>
              <w:rPr>
                <w:color w:val="000000"/>
                <w:sz w:val="20"/>
                <w:szCs w:val="20"/>
              </w:rPr>
            </w:pPr>
          </w:p>
        </w:tc>
      </w:tr>
      <w:tr w:rsidR="009C2084" w:rsidRPr="009C2084" w:rsidTr="009C2084">
        <w:trPr>
          <w:gridAfter w:val="1"/>
          <w:wAfter w:w="417" w:type="dxa"/>
          <w:trHeight w:val="358"/>
        </w:trPr>
        <w:tc>
          <w:tcPr>
            <w:tcW w:w="9449" w:type="dxa"/>
            <w:gridSpan w:val="7"/>
          </w:tcPr>
          <w:p w:rsidR="009C2084" w:rsidRPr="009C2084" w:rsidRDefault="009C2084" w:rsidP="009C2084">
            <w:pPr>
              <w:autoSpaceDE w:val="0"/>
              <w:autoSpaceDN w:val="0"/>
              <w:adjustRightInd w:val="0"/>
              <w:rPr>
                <w:color w:val="000000"/>
                <w:sz w:val="20"/>
                <w:szCs w:val="20"/>
              </w:rPr>
            </w:pPr>
            <w:r w:rsidRPr="009C2084">
              <w:rPr>
                <w:color w:val="000000"/>
                <w:sz w:val="20"/>
                <w:szCs w:val="20"/>
              </w:rPr>
              <w:t xml:space="preserve">Advice given and any other notes </w:t>
            </w:r>
          </w:p>
        </w:tc>
      </w:tr>
      <w:tr w:rsidR="009C2084" w:rsidRPr="009C2084" w:rsidTr="009C2084">
        <w:trPr>
          <w:gridAfter w:val="1"/>
          <w:wAfter w:w="417" w:type="dxa"/>
          <w:trHeight w:val="309"/>
        </w:trPr>
        <w:tc>
          <w:tcPr>
            <w:tcW w:w="3149" w:type="dxa"/>
            <w:gridSpan w:val="2"/>
          </w:tcPr>
          <w:p w:rsidR="009C2084" w:rsidRPr="009C2084" w:rsidRDefault="009C2084" w:rsidP="009C2084">
            <w:pPr>
              <w:autoSpaceDE w:val="0"/>
              <w:autoSpaceDN w:val="0"/>
              <w:adjustRightInd w:val="0"/>
              <w:rPr>
                <w:color w:val="000000"/>
                <w:sz w:val="20"/>
                <w:szCs w:val="20"/>
              </w:rPr>
            </w:pPr>
            <w:r w:rsidRPr="009C2084">
              <w:rPr>
                <w:color w:val="000000"/>
                <w:sz w:val="20"/>
                <w:szCs w:val="20"/>
              </w:rPr>
              <w:t xml:space="preserve">Administered by* </w:t>
            </w:r>
          </w:p>
          <w:p w:rsidR="009C2084" w:rsidRPr="009C2084" w:rsidRDefault="000436AD" w:rsidP="009C2084">
            <w:pPr>
              <w:autoSpaceDE w:val="0"/>
              <w:autoSpaceDN w:val="0"/>
              <w:adjustRightInd w:val="0"/>
              <w:rPr>
                <w:color w:val="000000"/>
                <w:sz w:val="12"/>
                <w:szCs w:val="12"/>
              </w:rPr>
            </w:pPr>
            <w:r>
              <w:rPr>
                <w:color w:val="000000"/>
                <w:sz w:val="12"/>
                <w:szCs w:val="12"/>
              </w:rPr>
              <w:t xml:space="preserve">(clinician </w:t>
            </w:r>
            <w:r w:rsidR="009C2084" w:rsidRPr="009C2084">
              <w:rPr>
                <w:color w:val="000000"/>
                <w:sz w:val="12"/>
                <w:szCs w:val="12"/>
              </w:rPr>
              <w:t xml:space="preserve">name) </w:t>
            </w:r>
          </w:p>
        </w:tc>
        <w:tc>
          <w:tcPr>
            <w:tcW w:w="3149" w:type="dxa"/>
            <w:gridSpan w:val="3"/>
          </w:tcPr>
          <w:p w:rsidR="009C2084" w:rsidRPr="009C2084" w:rsidRDefault="009C2084" w:rsidP="009C2084">
            <w:pPr>
              <w:autoSpaceDE w:val="0"/>
              <w:autoSpaceDN w:val="0"/>
              <w:adjustRightInd w:val="0"/>
              <w:rPr>
                <w:color w:val="000000"/>
                <w:sz w:val="18"/>
                <w:szCs w:val="18"/>
              </w:rPr>
            </w:pPr>
            <w:r w:rsidRPr="009C2084">
              <w:rPr>
                <w:color w:val="000000"/>
                <w:sz w:val="18"/>
                <w:szCs w:val="18"/>
              </w:rPr>
              <w:t xml:space="preserve">Signature* </w:t>
            </w:r>
          </w:p>
        </w:tc>
        <w:tc>
          <w:tcPr>
            <w:tcW w:w="3151" w:type="dxa"/>
            <w:gridSpan w:val="2"/>
          </w:tcPr>
          <w:p w:rsidR="009C2084" w:rsidRPr="009C2084" w:rsidRDefault="000436AD" w:rsidP="009C2084">
            <w:pPr>
              <w:autoSpaceDE w:val="0"/>
              <w:autoSpaceDN w:val="0"/>
              <w:adjustRightInd w:val="0"/>
              <w:rPr>
                <w:color w:val="000000"/>
                <w:sz w:val="18"/>
                <w:szCs w:val="18"/>
              </w:rPr>
            </w:pPr>
            <w:r>
              <w:rPr>
                <w:color w:val="000000"/>
                <w:sz w:val="18"/>
                <w:szCs w:val="18"/>
              </w:rPr>
              <w:t>GMC/RCN</w:t>
            </w:r>
            <w:r w:rsidR="009C2084" w:rsidRPr="009C2084">
              <w:rPr>
                <w:color w:val="000000"/>
                <w:sz w:val="18"/>
                <w:szCs w:val="18"/>
              </w:rPr>
              <w:t xml:space="preserve">number* </w:t>
            </w:r>
          </w:p>
        </w:tc>
      </w:tr>
    </w:tbl>
    <w:p w:rsidR="009C2084" w:rsidRDefault="009C2084" w:rsidP="009C2084"/>
    <w:p w:rsidR="00323AC4" w:rsidRDefault="00323AC4">
      <w:r>
        <w:br w:type="page"/>
      </w:r>
    </w:p>
    <w:p w:rsidR="00323AC4" w:rsidRDefault="00323AC4" w:rsidP="009C2084"/>
    <w:p w:rsidR="00323AC4" w:rsidRDefault="00323AC4" w:rsidP="009C2084"/>
    <w:p w:rsidR="00323AC4" w:rsidRDefault="00323AC4" w:rsidP="009C2084"/>
    <w:sectPr w:rsidR="00323A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0A4" w:rsidRDefault="00DD00A4" w:rsidP="00457D94">
      <w:r>
        <w:separator/>
      </w:r>
    </w:p>
  </w:endnote>
  <w:endnote w:type="continuationSeparator" w:id="0">
    <w:p w:rsidR="00DD00A4" w:rsidRDefault="00DD00A4" w:rsidP="0045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737309"/>
      <w:docPartObj>
        <w:docPartGallery w:val="Page Numbers (Bottom of Page)"/>
        <w:docPartUnique/>
      </w:docPartObj>
    </w:sdtPr>
    <w:sdtEndPr>
      <w:rPr>
        <w:noProof/>
      </w:rPr>
    </w:sdtEndPr>
    <w:sdtContent>
      <w:p w:rsidR="001E5BF6" w:rsidRDefault="001E5BF6">
        <w:pPr>
          <w:pStyle w:val="Footer"/>
          <w:jc w:val="center"/>
        </w:pPr>
        <w:r>
          <w:fldChar w:fldCharType="begin"/>
        </w:r>
        <w:r>
          <w:instrText xml:space="preserve"> PAGE   \* MERGEFORMAT </w:instrText>
        </w:r>
        <w:r>
          <w:fldChar w:fldCharType="separate"/>
        </w:r>
        <w:r w:rsidR="00EB1242">
          <w:rPr>
            <w:noProof/>
          </w:rPr>
          <w:t>2</w:t>
        </w:r>
        <w:r>
          <w:rPr>
            <w:noProof/>
          </w:rPr>
          <w:fldChar w:fldCharType="end"/>
        </w:r>
      </w:p>
    </w:sdtContent>
  </w:sdt>
  <w:p w:rsidR="001E5BF6" w:rsidRDefault="001E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0A4" w:rsidRDefault="00DD00A4" w:rsidP="00457D94">
      <w:r>
        <w:separator/>
      </w:r>
    </w:p>
  </w:footnote>
  <w:footnote w:type="continuationSeparator" w:id="0">
    <w:p w:rsidR="00DD00A4" w:rsidRDefault="00DD00A4" w:rsidP="00457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9C1"/>
    <w:multiLevelType w:val="multilevel"/>
    <w:tmpl w:val="DC6A5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A2DA0"/>
    <w:multiLevelType w:val="hybridMultilevel"/>
    <w:tmpl w:val="F58ED812"/>
    <w:lvl w:ilvl="0" w:tplc="2870A622">
      <w:start w:val="1"/>
      <w:numFmt w:val="decimal"/>
      <w:lvlText w:val="%1."/>
      <w:lvlJc w:val="left"/>
      <w:pPr>
        <w:ind w:left="720" w:hanging="360"/>
      </w:pPr>
      <w:rPr>
        <w:rFonts w:hint="default"/>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60724"/>
    <w:multiLevelType w:val="multilevel"/>
    <w:tmpl w:val="77CADEE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2547788"/>
    <w:multiLevelType w:val="hybridMultilevel"/>
    <w:tmpl w:val="766E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47C90"/>
    <w:multiLevelType w:val="hybridMultilevel"/>
    <w:tmpl w:val="E2985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FB120E"/>
    <w:multiLevelType w:val="hybridMultilevel"/>
    <w:tmpl w:val="B472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837C3"/>
    <w:multiLevelType w:val="multilevel"/>
    <w:tmpl w:val="E4F408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77791C1C"/>
    <w:multiLevelType w:val="hybridMultilevel"/>
    <w:tmpl w:val="3E383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8E"/>
    <w:rsid w:val="00001858"/>
    <w:rsid w:val="000353E4"/>
    <w:rsid w:val="000436AD"/>
    <w:rsid w:val="00055239"/>
    <w:rsid w:val="00072BBB"/>
    <w:rsid w:val="000748DA"/>
    <w:rsid w:val="000901CA"/>
    <w:rsid w:val="00093A53"/>
    <w:rsid w:val="000A254F"/>
    <w:rsid w:val="000B2D79"/>
    <w:rsid w:val="000F1AE6"/>
    <w:rsid w:val="00126A8A"/>
    <w:rsid w:val="001276E3"/>
    <w:rsid w:val="00142EA6"/>
    <w:rsid w:val="0015778F"/>
    <w:rsid w:val="00161AF6"/>
    <w:rsid w:val="00181F47"/>
    <w:rsid w:val="00190F88"/>
    <w:rsid w:val="0019734C"/>
    <w:rsid w:val="001A786B"/>
    <w:rsid w:val="001E5BF6"/>
    <w:rsid w:val="001F1CEA"/>
    <w:rsid w:val="00210BE6"/>
    <w:rsid w:val="0022654E"/>
    <w:rsid w:val="00230DCB"/>
    <w:rsid w:val="002326CE"/>
    <w:rsid w:val="002451C1"/>
    <w:rsid w:val="00264EE1"/>
    <w:rsid w:val="00287034"/>
    <w:rsid w:val="00290C5A"/>
    <w:rsid w:val="002A679E"/>
    <w:rsid w:val="002C10C4"/>
    <w:rsid w:val="002F2FA7"/>
    <w:rsid w:val="0030083D"/>
    <w:rsid w:val="003075E9"/>
    <w:rsid w:val="00323AC4"/>
    <w:rsid w:val="00326446"/>
    <w:rsid w:val="00352F1A"/>
    <w:rsid w:val="003A6360"/>
    <w:rsid w:val="003B3A27"/>
    <w:rsid w:val="003D4AB3"/>
    <w:rsid w:val="003E621C"/>
    <w:rsid w:val="003F084A"/>
    <w:rsid w:val="004201D9"/>
    <w:rsid w:val="00457D94"/>
    <w:rsid w:val="00463FC9"/>
    <w:rsid w:val="00464FD9"/>
    <w:rsid w:val="00466764"/>
    <w:rsid w:val="004A7372"/>
    <w:rsid w:val="004C395B"/>
    <w:rsid w:val="004E49E7"/>
    <w:rsid w:val="005630A1"/>
    <w:rsid w:val="00570A7E"/>
    <w:rsid w:val="00572D0C"/>
    <w:rsid w:val="005874B9"/>
    <w:rsid w:val="00593D40"/>
    <w:rsid w:val="005A1294"/>
    <w:rsid w:val="005B4EEC"/>
    <w:rsid w:val="005C2A61"/>
    <w:rsid w:val="0065294A"/>
    <w:rsid w:val="006D49C8"/>
    <w:rsid w:val="007301F6"/>
    <w:rsid w:val="007357DC"/>
    <w:rsid w:val="00742D9E"/>
    <w:rsid w:val="0075210C"/>
    <w:rsid w:val="007925C2"/>
    <w:rsid w:val="007931FA"/>
    <w:rsid w:val="007B0FAC"/>
    <w:rsid w:val="007B1C65"/>
    <w:rsid w:val="007C5949"/>
    <w:rsid w:val="007F3C7F"/>
    <w:rsid w:val="00802835"/>
    <w:rsid w:val="00841FB5"/>
    <w:rsid w:val="00861CEE"/>
    <w:rsid w:val="008B5B77"/>
    <w:rsid w:val="008C2B0A"/>
    <w:rsid w:val="008E3F12"/>
    <w:rsid w:val="008E48FD"/>
    <w:rsid w:val="008E6A2F"/>
    <w:rsid w:val="00911B41"/>
    <w:rsid w:val="0091313A"/>
    <w:rsid w:val="0092217B"/>
    <w:rsid w:val="009426DB"/>
    <w:rsid w:val="009A36A2"/>
    <w:rsid w:val="009B44AD"/>
    <w:rsid w:val="009C2084"/>
    <w:rsid w:val="009F66B6"/>
    <w:rsid w:val="00A02FEC"/>
    <w:rsid w:val="00A351C8"/>
    <w:rsid w:val="00A35FFA"/>
    <w:rsid w:val="00A377C0"/>
    <w:rsid w:val="00A64BF4"/>
    <w:rsid w:val="00A80B2A"/>
    <w:rsid w:val="00A949CC"/>
    <w:rsid w:val="00A95DE9"/>
    <w:rsid w:val="00AC393D"/>
    <w:rsid w:val="00B00AFA"/>
    <w:rsid w:val="00B0617C"/>
    <w:rsid w:val="00B12BE8"/>
    <w:rsid w:val="00B33AAF"/>
    <w:rsid w:val="00B8175E"/>
    <w:rsid w:val="00BC157B"/>
    <w:rsid w:val="00BC7047"/>
    <w:rsid w:val="00C02FF2"/>
    <w:rsid w:val="00C06D10"/>
    <w:rsid w:val="00C14688"/>
    <w:rsid w:val="00C3468E"/>
    <w:rsid w:val="00C44A8E"/>
    <w:rsid w:val="00C57BFF"/>
    <w:rsid w:val="00D11A29"/>
    <w:rsid w:val="00D172DB"/>
    <w:rsid w:val="00D31A24"/>
    <w:rsid w:val="00D72FBF"/>
    <w:rsid w:val="00DD00A4"/>
    <w:rsid w:val="00E00ADE"/>
    <w:rsid w:val="00E21F71"/>
    <w:rsid w:val="00E278DD"/>
    <w:rsid w:val="00E52609"/>
    <w:rsid w:val="00E64AE7"/>
    <w:rsid w:val="00E669BC"/>
    <w:rsid w:val="00E97344"/>
    <w:rsid w:val="00EB1242"/>
    <w:rsid w:val="00ED572E"/>
    <w:rsid w:val="00EF742D"/>
    <w:rsid w:val="00F0564B"/>
    <w:rsid w:val="00F752DF"/>
    <w:rsid w:val="00F87A6B"/>
    <w:rsid w:val="00FA7766"/>
    <w:rsid w:val="00FD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FBB11-85E6-4A2A-8703-1232572D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A8E"/>
    <w:pPr>
      <w:autoSpaceDE w:val="0"/>
      <w:autoSpaceDN w:val="0"/>
      <w:adjustRightInd w:val="0"/>
    </w:pPr>
    <w:rPr>
      <w:color w:val="000000"/>
      <w:sz w:val="24"/>
      <w:szCs w:val="24"/>
    </w:rPr>
  </w:style>
  <w:style w:type="paragraph" w:styleId="ListParagraph">
    <w:name w:val="List Paragraph"/>
    <w:basedOn w:val="Normal"/>
    <w:uiPriority w:val="34"/>
    <w:qFormat/>
    <w:rsid w:val="002C10C4"/>
    <w:pPr>
      <w:ind w:left="720"/>
      <w:contextualSpacing/>
    </w:pPr>
  </w:style>
  <w:style w:type="paragraph" w:styleId="BalloonText">
    <w:name w:val="Balloon Text"/>
    <w:basedOn w:val="Normal"/>
    <w:link w:val="BalloonTextChar"/>
    <w:uiPriority w:val="99"/>
    <w:semiHidden/>
    <w:unhideWhenUsed/>
    <w:rsid w:val="00742D9E"/>
    <w:rPr>
      <w:rFonts w:ascii="Tahoma" w:hAnsi="Tahoma" w:cs="Tahoma"/>
      <w:sz w:val="16"/>
      <w:szCs w:val="16"/>
    </w:rPr>
  </w:style>
  <w:style w:type="character" w:customStyle="1" w:styleId="BalloonTextChar">
    <w:name w:val="Balloon Text Char"/>
    <w:basedOn w:val="DefaultParagraphFont"/>
    <w:link w:val="BalloonText"/>
    <w:uiPriority w:val="99"/>
    <w:semiHidden/>
    <w:rsid w:val="00742D9E"/>
    <w:rPr>
      <w:rFonts w:ascii="Tahoma" w:hAnsi="Tahoma" w:cs="Tahoma"/>
      <w:sz w:val="16"/>
      <w:szCs w:val="16"/>
    </w:rPr>
  </w:style>
  <w:style w:type="table" w:styleId="TableGrid">
    <w:name w:val="Table Grid"/>
    <w:basedOn w:val="TableNormal"/>
    <w:uiPriority w:val="59"/>
    <w:rsid w:val="0021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34C"/>
    <w:rPr>
      <w:color w:val="0000FF" w:themeColor="hyperlink"/>
      <w:u w:val="single"/>
    </w:rPr>
  </w:style>
  <w:style w:type="paragraph" w:styleId="Header">
    <w:name w:val="header"/>
    <w:basedOn w:val="Normal"/>
    <w:link w:val="HeaderChar"/>
    <w:uiPriority w:val="99"/>
    <w:unhideWhenUsed/>
    <w:rsid w:val="00457D94"/>
    <w:pPr>
      <w:tabs>
        <w:tab w:val="center" w:pos="4513"/>
        <w:tab w:val="right" w:pos="9026"/>
      </w:tabs>
    </w:pPr>
  </w:style>
  <w:style w:type="character" w:customStyle="1" w:styleId="HeaderChar">
    <w:name w:val="Header Char"/>
    <w:basedOn w:val="DefaultParagraphFont"/>
    <w:link w:val="Header"/>
    <w:uiPriority w:val="99"/>
    <w:rsid w:val="00457D94"/>
  </w:style>
  <w:style w:type="paragraph" w:styleId="Footer">
    <w:name w:val="footer"/>
    <w:basedOn w:val="Normal"/>
    <w:link w:val="FooterChar"/>
    <w:uiPriority w:val="99"/>
    <w:unhideWhenUsed/>
    <w:rsid w:val="00457D94"/>
    <w:pPr>
      <w:tabs>
        <w:tab w:val="center" w:pos="4513"/>
        <w:tab w:val="right" w:pos="9026"/>
      </w:tabs>
    </w:pPr>
  </w:style>
  <w:style w:type="character" w:customStyle="1" w:styleId="FooterChar">
    <w:name w:val="Footer Char"/>
    <w:basedOn w:val="DefaultParagraphFont"/>
    <w:link w:val="Footer"/>
    <w:uiPriority w:val="99"/>
    <w:rsid w:val="0045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7799">
      <w:bodyDiv w:val="1"/>
      <w:marLeft w:val="0"/>
      <w:marRight w:val="0"/>
      <w:marTop w:val="0"/>
      <w:marBottom w:val="0"/>
      <w:divBdr>
        <w:top w:val="none" w:sz="0" w:space="0" w:color="auto"/>
        <w:left w:val="none" w:sz="0" w:space="0" w:color="auto"/>
        <w:bottom w:val="none" w:sz="0" w:space="0" w:color="auto"/>
        <w:right w:val="none" w:sz="0" w:space="0" w:color="auto"/>
      </w:divBdr>
    </w:div>
    <w:div w:id="598028156">
      <w:bodyDiv w:val="1"/>
      <w:marLeft w:val="0"/>
      <w:marRight w:val="0"/>
      <w:marTop w:val="0"/>
      <w:marBottom w:val="0"/>
      <w:divBdr>
        <w:top w:val="none" w:sz="0" w:space="0" w:color="auto"/>
        <w:left w:val="none" w:sz="0" w:space="0" w:color="auto"/>
        <w:bottom w:val="none" w:sz="0" w:space="0" w:color="auto"/>
        <w:right w:val="none" w:sz="0" w:space="0" w:color="auto"/>
      </w:divBdr>
    </w:div>
    <w:div w:id="8687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fluenza-treatment-and-prophylaxis-using-anti-viral-ag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E14C-89F7-4442-816D-485F8D7E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 Rodbourne</cp:lastModifiedBy>
  <cp:revision>2</cp:revision>
  <dcterms:created xsi:type="dcterms:W3CDTF">2018-01-06T12:46:00Z</dcterms:created>
  <dcterms:modified xsi:type="dcterms:W3CDTF">2018-01-06T12:46:00Z</dcterms:modified>
</cp:coreProperties>
</file>