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99" w:rsidRPr="0005399B" w:rsidRDefault="00957699" w:rsidP="00957699">
      <w:pPr>
        <w:ind w:left="397"/>
        <w:jc w:val="both"/>
        <w:rPr>
          <w:rFonts w:ascii="Arial" w:hAnsi="Arial" w:cs="Arial"/>
          <w:sz w:val="22"/>
          <w:szCs w:val="22"/>
        </w:rPr>
      </w:pPr>
      <w:bookmarkStart w:id="0" w:name="_GoBack"/>
      <w:bookmarkEnd w:id="0"/>
    </w:p>
    <w:tbl>
      <w:tblPr>
        <w:tblW w:w="988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000" w:firstRow="0" w:lastRow="0" w:firstColumn="0" w:lastColumn="0" w:noHBand="0" w:noVBand="0"/>
      </w:tblPr>
      <w:tblGrid>
        <w:gridCol w:w="5353"/>
        <w:gridCol w:w="1559"/>
        <w:gridCol w:w="2977"/>
      </w:tblGrid>
      <w:tr w:rsidR="00957699" w:rsidRPr="005B1876" w:rsidTr="00C02059">
        <w:trPr>
          <w:trHeight w:val="1213"/>
        </w:trPr>
        <w:tc>
          <w:tcPr>
            <w:tcW w:w="5353" w:type="dxa"/>
            <w:tcBorders>
              <w:top w:val="single" w:sz="4" w:space="0" w:color="auto"/>
              <w:left w:val="single" w:sz="4" w:space="0" w:color="auto"/>
              <w:bottom w:val="single" w:sz="4" w:space="0" w:color="auto"/>
              <w:right w:val="single" w:sz="4" w:space="0" w:color="auto"/>
            </w:tcBorders>
          </w:tcPr>
          <w:p w:rsidR="00957699" w:rsidRPr="005B1876" w:rsidRDefault="00957699" w:rsidP="00C02059">
            <w:pPr>
              <w:spacing w:after="120"/>
              <w:ind w:right="107"/>
              <w:jc w:val="both"/>
              <w:rPr>
                <w:rFonts w:ascii="Gill Sans MT" w:hAnsi="Gill Sans MT"/>
                <w:sz w:val="16"/>
                <w:szCs w:val="18"/>
              </w:rPr>
            </w:pPr>
          </w:p>
          <w:p w:rsidR="00957699" w:rsidRDefault="00957699" w:rsidP="00C02059">
            <w:pPr>
              <w:keepNext/>
              <w:ind w:right="-108"/>
              <w:jc w:val="center"/>
              <w:outlineLvl w:val="6"/>
              <w:rPr>
                <w:rFonts w:ascii="Gill Sans MT" w:hAnsi="Gill Sans MT"/>
                <w:b/>
                <w:sz w:val="56"/>
                <w:szCs w:val="56"/>
              </w:rPr>
            </w:pPr>
            <w:r>
              <w:rPr>
                <w:rFonts w:ascii="Gill Sans MT" w:hAnsi="Gill Sans MT"/>
                <w:b/>
                <w:sz w:val="56"/>
                <w:szCs w:val="56"/>
              </w:rPr>
              <w:t>Chief Executive’s</w:t>
            </w:r>
          </w:p>
          <w:p w:rsidR="00957699" w:rsidRPr="005B1876" w:rsidRDefault="00957699" w:rsidP="00C02059">
            <w:pPr>
              <w:keepNext/>
              <w:ind w:right="-108"/>
              <w:jc w:val="center"/>
              <w:outlineLvl w:val="6"/>
              <w:rPr>
                <w:rFonts w:ascii="Gill Sans" w:hAnsi="Gill Sans"/>
                <w:b/>
                <w:i/>
                <w:sz w:val="22"/>
                <w:szCs w:val="22"/>
              </w:rPr>
            </w:pPr>
            <w:r>
              <w:rPr>
                <w:rFonts w:ascii="Gill Sans MT" w:hAnsi="Gill Sans MT"/>
                <w:b/>
                <w:sz w:val="56"/>
                <w:szCs w:val="56"/>
              </w:rPr>
              <w:t>Report</w:t>
            </w:r>
          </w:p>
        </w:tc>
        <w:tc>
          <w:tcPr>
            <w:tcW w:w="1559" w:type="dxa"/>
            <w:tcBorders>
              <w:top w:val="single" w:sz="4" w:space="0" w:color="auto"/>
              <w:left w:val="single" w:sz="4" w:space="0" w:color="auto"/>
              <w:bottom w:val="single" w:sz="4" w:space="0" w:color="auto"/>
              <w:right w:val="single" w:sz="4" w:space="0" w:color="auto"/>
            </w:tcBorders>
          </w:tcPr>
          <w:p w:rsidR="00957699" w:rsidRPr="005B1876" w:rsidRDefault="00957699" w:rsidP="00C02059">
            <w:pPr>
              <w:ind w:right="-108"/>
              <w:jc w:val="both"/>
              <w:rPr>
                <w:rFonts w:ascii="Gill Sans MT" w:hAnsi="Gill Sans MT"/>
                <w:sz w:val="18"/>
                <w:szCs w:val="18"/>
              </w:rPr>
            </w:pPr>
          </w:p>
          <w:p w:rsidR="00957699" w:rsidRPr="005B1876" w:rsidRDefault="00957699" w:rsidP="00C02059">
            <w:pPr>
              <w:ind w:right="-108"/>
              <w:jc w:val="both"/>
              <w:rPr>
                <w:rFonts w:ascii="Gill Sans MT" w:hAnsi="Gill Sans MT"/>
                <w:sz w:val="18"/>
                <w:szCs w:val="18"/>
              </w:rPr>
            </w:pPr>
          </w:p>
          <w:p w:rsidR="00957699" w:rsidRPr="005B1876" w:rsidRDefault="00957699" w:rsidP="00C02059">
            <w:pPr>
              <w:ind w:right="-108"/>
              <w:jc w:val="both"/>
              <w:rPr>
                <w:rFonts w:ascii="Gill Sans MT" w:hAnsi="Gill Sans MT"/>
                <w:sz w:val="18"/>
                <w:szCs w:val="18"/>
              </w:rPr>
            </w:pPr>
          </w:p>
          <w:p w:rsidR="00957699" w:rsidRPr="005B1876" w:rsidRDefault="00957699" w:rsidP="00C02059">
            <w:pPr>
              <w:ind w:right="-108"/>
              <w:jc w:val="both"/>
              <w:rPr>
                <w:rFonts w:ascii="Gill Sans MT" w:hAnsi="Gill Sans MT"/>
                <w:sz w:val="18"/>
                <w:szCs w:val="18"/>
              </w:rPr>
            </w:pPr>
          </w:p>
          <w:p w:rsidR="00957699" w:rsidRPr="005B1876" w:rsidRDefault="00957699" w:rsidP="00C02059">
            <w:pPr>
              <w:ind w:right="-108"/>
              <w:jc w:val="both"/>
              <w:rPr>
                <w:rFonts w:ascii="Gill Sans MT" w:hAnsi="Gill Sans MT"/>
                <w:sz w:val="18"/>
                <w:szCs w:val="18"/>
              </w:rPr>
            </w:pPr>
          </w:p>
          <w:p w:rsidR="00957699" w:rsidRPr="005B1876" w:rsidRDefault="00957699" w:rsidP="00C02059">
            <w:pPr>
              <w:ind w:right="-108"/>
              <w:jc w:val="both"/>
              <w:rPr>
                <w:rFonts w:ascii="Gill Sans MT" w:hAnsi="Gill Sans MT"/>
                <w:sz w:val="18"/>
                <w:szCs w:val="18"/>
              </w:rPr>
            </w:pPr>
            <w:r>
              <w:rPr>
                <w:rFonts w:ascii="Gill Sans MT" w:hAnsi="Gill Sans MT"/>
                <w:sz w:val="18"/>
                <w:szCs w:val="18"/>
              </w:rPr>
              <w:t>2014/03</w:t>
            </w:r>
          </w:p>
          <w:p w:rsidR="00957699" w:rsidRPr="005B1876" w:rsidRDefault="00957699" w:rsidP="00C02059">
            <w:pPr>
              <w:ind w:right="-108"/>
              <w:jc w:val="both"/>
              <w:rPr>
                <w:rFonts w:ascii="Gill Sans" w:hAnsi="Gill Sans"/>
                <w:b/>
                <w:i/>
                <w:sz w:val="22"/>
                <w:szCs w:val="22"/>
              </w:rPr>
            </w:pPr>
            <w:r>
              <w:rPr>
                <w:rFonts w:ascii="Gill Sans MT" w:hAnsi="Gill Sans MT"/>
                <w:sz w:val="18"/>
                <w:szCs w:val="18"/>
              </w:rPr>
              <w:t xml:space="preserve">May/June </w:t>
            </w:r>
            <w:r w:rsidRPr="005B1876">
              <w:rPr>
                <w:rFonts w:ascii="Gill Sans MT" w:hAnsi="Gill Sans MT"/>
                <w:sz w:val="18"/>
                <w:szCs w:val="18"/>
              </w:rPr>
              <w:t>201</w:t>
            </w:r>
            <w:r>
              <w:rPr>
                <w:rFonts w:ascii="Gill Sans MT" w:hAnsi="Gill Sans MT"/>
                <w:sz w:val="18"/>
                <w:szCs w:val="18"/>
              </w:rPr>
              <w:t>4</w:t>
            </w:r>
            <w:r w:rsidRPr="005B1876">
              <w:rPr>
                <w:rFonts w:ascii="Gill Sans MT" w:hAnsi="Gill Sans MT"/>
                <w:sz w:val="18"/>
                <w:szCs w:val="18"/>
              </w:rPr>
              <w:t xml:space="preserve">         </w:t>
            </w:r>
            <w:r w:rsidRPr="005B1876">
              <w:rPr>
                <w:rFonts w:ascii="Gill Sans MT" w:hAnsi="Gill Sans MT"/>
                <w:sz w:val="56"/>
                <w:szCs w:val="56"/>
              </w:rPr>
              <w:t xml:space="preserve"> </w:t>
            </w:r>
          </w:p>
        </w:tc>
        <w:tc>
          <w:tcPr>
            <w:tcW w:w="2977" w:type="dxa"/>
            <w:tcBorders>
              <w:top w:val="single" w:sz="4" w:space="0" w:color="auto"/>
              <w:left w:val="single" w:sz="4" w:space="0" w:color="auto"/>
              <w:bottom w:val="single" w:sz="4" w:space="0" w:color="auto"/>
              <w:right w:val="single" w:sz="4" w:space="0" w:color="auto"/>
            </w:tcBorders>
          </w:tcPr>
          <w:p w:rsidR="00957699" w:rsidRPr="005B1876" w:rsidRDefault="00957699" w:rsidP="00C02059">
            <w:pPr>
              <w:spacing w:after="120"/>
              <w:ind w:right="107"/>
              <w:jc w:val="both"/>
              <w:rPr>
                <w:rFonts w:ascii="Gill Sans" w:hAnsi="Gill Sans"/>
                <w:b/>
                <w:i/>
                <w:sz w:val="22"/>
                <w:szCs w:val="22"/>
              </w:rPr>
            </w:pPr>
            <w:r w:rsidRPr="005B1876">
              <w:rPr>
                <w:rFonts w:ascii="Century Gothic" w:hAnsi="Century Gothic"/>
                <w:noProof/>
                <w:lang w:eastAsia="en-GB"/>
              </w:rPr>
              <w:drawing>
                <wp:inline distT="0" distB="0" distL="0" distR="0" wp14:anchorId="378EC98E" wp14:editId="7BD7218D">
                  <wp:extent cx="1811547" cy="989956"/>
                  <wp:effectExtent l="0" t="0" r="0" b="127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2726" cy="990600"/>
                          </a:xfrm>
                          <a:prstGeom prst="rect">
                            <a:avLst/>
                          </a:prstGeom>
                          <a:noFill/>
                          <a:ln>
                            <a:noFill/>
                          </a:ln>
                        </pic:spPr>
                      </pic:pic>
                    </a:graphicData>
                  </a:graphic>
                </wp:inline>
              </w:drawing>
            </w:r>
          </w:p>
        </w:tc>
      </w:tr>
    </w:tbl>
    <w:p w:rsidR="00957699" w:rsidRPr="00957699" w:rsidRDefault="00957699" w:rsidP="00957699">
      <w:pPr>
        <w:jc w:val="both"/>
        <w:rPr>
          <w:rFonts w:ascii="Gill Sans" w:hAnsi="Gill Sans"/>
          <w:bCs/>
          <w:color w:val="FF0000"/>
          <w:sz w:val="20"/>
          <w:szCs w:val="20"/>
          <w:lang w:eastAsia="en-GB"/>
        </w:rPr>
      </w:pPr>
    </w:p>
    <w:p w:rsidR="00AD6828" w:rsidRPr="00957699" w:rsidRDefault="00AD6828" w:rsidP="00926AE8">
      <w:pPr>
        <w:tabs>
          <w:tab w:val="left" w:pos="567"/>
        </w:tabs>
        <w:jc w:val="both"/>
        <w:rPr>
          <w:rFonts w:ascii="Arial" w:hAnsi="Arial" w:cs="Arial"/>
          <w:b/>
          <w:sz w:val="20"/>
          <w:szCs w:val="20"/>
        </w:rPr>
      </w:pPr>
      <w:r w:rsidRPr="00957699">
        <w:rPr>
          <w:rFonts w:ascii="Arial" w:hAnsi="Arial" w:cs="Arial"/>
          <w:b/>
          <w:sz w:val="20"/>
          <w:szCs w:val="20"/>
        </w:rPr>
        <w:t>Co-Commissioning Role for CCGs</w:t>
      </w:r>
    </w:p>
    <w:p w:rsidR="00867D84" w:rsidRPr="00957699" w:rsidRDefault="00AD6828" w:rsidP="00926AE8">
      <w:pPr>
        <w:tabs>
          <w:tab w:val="left" w:pos="567"/>
        </w:tabs>
        <w:jc w:val="both"/>
        <w:rPr>
          <w:rFonts w:ascii="Arial" w:hAnsi="Arial" w:cs="Arial"/>
          <w:sz w:val="20"/>
          <w:szCs w:val="20"/>
        </w:rPr>
      </w:pPr>
      <w:r w:rsidRPr="00957699">
        <w:rPr>
          <w:rFonts w:ascii="Arial" w:hAnsi="Arial" w:cs="Arial"/>
          <w:sz w:val="20"/>
          <w:szCs w:val="20"/>
        </w:rPr>
        <w:t xml:space="preserve">The new NHS England Chief Executive has invited CCGs to indicate whether they would be interested in an expanded commissioning role in primary care.  The expectation is that </w:t>
      </w:r>
      <w:r w:rsidR="00042AD1" w:rsidRPr="00957699">
        <w:rPr>
          <w:rFonts w:ascii="Arial" w:hAnsi="Arial" w:cs="Arial"/>
          <w:sz w:val="20"/>
          <w:szCs w:val="20"/>
        </w:rPr>
        <w:t xml:space="preserve">CCGs’ </w:t>
      </w:r>
      <w:r w:rsidRPr="00957699">
        <w:rPr>
          <w:rFonts w:ascii="Arial" w:hAnsi="Arial" w:cs="Arial"/>
          <w:sz w:val="20"/>
          <w:szCs w:val="20"/>
        </w:rPr>
        <w:t>applications will describe the additional powers and responsibilities that they would like to assume</w:t>
      </w:r>
      <w:r w:rsidR="00042AD1" w:rsidRPr="00957699">
        <w:rPr>
          <w:rFonts w:ascii="Arial" w:hAnsi="Arial" w:cs="Arial"/>
          <w:sz w:val="20"/>
          <w:szCs w:val="20"/>
        </w:rPr>
        <w:t>.</w:t>
      </w:r>
      <w:r w:rsidR="00867D84" w:rsidRPr="00957699">
        <w:rPr>
          <w:rFonts w:ascii="Arial" w:hAnsi="Arial" w:cs="Arial"/>
          <w:sz w:val="20"/>
          <w:szCs w:val="20"/>
        </w:rPr>
        <w:t xml:space="preserve">  I have written to all GPs and CCGs about these proposals, outlining the LMC’s concerns about aspects of any transfer of responsibilities</w:t>
      </w:r>
      <w:r w:rsidR="00EA0525" w:rsidRPr="00957699">
        <w:rPr>
          <w:rFonts w:ascii="Arial" w:hAnsi="Arial" w:cs="Arial"/>
          <w:sz w:val="20"/>
          <w:szCs w:val="20"/>
        </w:rPr>
        <w:t xml:space="preserve"> in relation to GP contractual issues</w:t>
      </w:r>
      <w:r w:rsidR="00867D84" w:rsidRPr="00957699">
        <w:rPr>
          <w:rFonts w:ascii="Arial" w:hAnsi="Arial" w:cs="Arial"/>
          <w:sz w:val="20"/>
          <w:szCs w:val="20"/>
        </w:rPr>
        <w:t xml:space="preserve">.  </w:t>
      </w:r>
    </w:p>
    <w:p w:rsidR="00867D84" w:rsidRPr="00957699" w:rsidRDefault="00867D84" w:rsidP="00926AE8">
      <w:pPr>
        <w:tabs>
          <w:tab w:val="left" w:pos="567"/>
        </w:tabs>
        <w:jc w:val="both"/>
        <w:rPr>
          <w:rFonts w:ascii="Arial" w:hAnsi="Arial" w:cs="Arial"/>
          <w:sz w:val="20"/>
          <w:szCs w:val="20"/>
        </w:rPr>
      </w:pPr>
    </w:p>
    <w:p w:rsidR="00042AD1" w:rsidRPr="00957699" w:rsidRDefault="00867D84" w:rsidP="00926AE8">
      <w:pPr>
        <w:tabs>
          <w:tab w:val="left" w:pos="567"/>
        </w:tabs>
        <w:jc w:val="both"/>
        <w:rPr>
          <w:rFonts w:ascii="Arial" w:hAnsi="Arial" w:cs="Arial"/>
          <w:sz w:val="20"/>
          <w:szCs w:val="20"/>
        </w:rPr>
      </w:pPr>
      <w:r w:rsidRPr="00957699">
        <w:rPr>
          <w:rFonts w:ascii="Arial" w:hAnsi="Arial" w:cs="Arial"/>
          <w:sz w:val="20"/>
          <w:szCs w:val="20"/>
        </w:rPr>
        <w:t>Although</w:t>
      </w:r>
      <w:r w:rsidR="00042AD1" w:rsidRPr="00957699">
        <w:rPr>
          <w:rFonts w:ascii="Arial" w:hAnsi="Arial" w:cs="Arial"/>
          <w:sz w:val="20"/>
          <w:szCs w:val="20"/>
        </w:rPr>
        <w:t xml:space="preserve"> CCGs will </w:t>
      </w:r>
      <w:r w:rsidRPr="00957699">
        <w:rPr>
          <w:rFonts w:ascii="Arial" w:hAnsi="Arial" w:cs="Arial"/>
          <w:sz w:val="20"/>
          <w:szCs w:val="20"/>
        </w:rPr>
        <w:t xml:space="preserve">not be </w:t>
      </w:r>
      <w:r w:rsidR="00042AD1" w:rsidRPr="00957699">
        <w:rPr>
          <w:rFonts w:ascii="Arial" w:hAnsi="Arial" w:cs="Arial"/>
          <w:sz w:val="20"/>
          <w:szCs w:val="20"/>
        </w:rPr>
        <w:t>ask</w:t>
      </w:r>
      <w:r w:rsidRPr="00957699">
        <w:rPr>
          <w:rFonts w:ascii="Arial" w:hAnsi="Arial" w:cs="Arial"/>
          <w:sz w:val="20"/>
          <w:szCs w:val="20"/>
        </w:rPr>
        <w:t xml:space="preserve">ed </w:t>
      </w:r>
      <w:r w:rsidR="00042AD1" w:rsidRPr="00957699">
        <w:rPr>
          <w:rFonts w:ascii="Arial" w:hAnsi="Arial" w:cs="Arial"/>
          <w:sz w:val="20"/>
          <w:szCs w:val="20"/>
        </w:rPr>
        <w:t xml:space="preserve">to </w:t>
      </w:r>
      <w:r w:rsidRPr="00957699">
        <w:rPr>
          <w:rFonts w:ascii="Arial" w:hAnsi="Arial" w:cs="Arial"/>
          <w:sz w:val="20"/>
          <w:szCs w:val="20"/>
        </w:rPr>
        <w:t>hold</w:t>
      </w:r>
      <w:r w:rsidR="00042AD1" w:rsidRPr="00957699">
        <w:rPr>
          <w:rFonts w:ascii="Arial" w:hAnsi="Arial" w:cs="Arial"/>
          <w:sz w:val="20"/>
          <w:szCs w:val="20"/>
        </w:rPr>
        <w:t xml:space="preserve"> the GP core (GMS or PMS) contract, which will continue to be held </w:t>
      </w:r>
      <w:r w:rsidR="00EA0525" w:rsidRPr="00957699">
        <w:rPr>
          <w:rFonts w:ascii="Arial" w:hAnsi="Arial" w:cs="Arial"/>
          <w:sz w:val="20"/>
          <w:szCs w:val="20"/>
        </w:rPr>
        <w:t>by</w:t>
      </w:r>
      <w:r w:rsidR="00042AD1" w:rsidRPr="00957699">
        <w:rPr>
          <w:rFonts w:ascii="Arial" w:hAnsi="Arial" w:cs="Arial"/>
          <w:sz w:val="20"/>
          <w:szCs w:val="20"/>
        </w:rPr>
        <w:t xml:space="preserve"> NHS England</w:t>
      </w:r>
      <w:r w:rsidRPr="00957699">
        <w:rPr>
          <w:rFonts w:ascii="Arial" w:hAnsi="Arial" w:cs="Arial"/>
          <w:sz w:val="20"/>
          <w:szCs w:val="20"/>
        </w:rPr>
        <w:t>, the letter does env</w:t>
      </w:r>
      <w:r w:rsidR="00957699">
        <w:rPr>
          <w:rFonts w:ascii="Arial" w:hAnsi="Arial" w:cs="Arial"/>
          <w:sz w:val="20"/>
          <w:szCs w:val="20"/>
        </w:rPr>
        <w:t>isage an expanded contractual ro</w:t>
      </w:r>
      <w:r w:rsidRPr="00957699">
        <w:rPr>
          <w:rFonts w:ascii="Arial" w:hAnsi="Arial" w:cs="Arial"/>
          <w:sz w:val="20"/>
          <w:szCs w:val="20"/>
        </w:rPr>
        <w:t>le of CCGs</w:t>
      </w:r>
      <w:r w:rsidR="00042AD1" w:rsidRPr="00957699">
        <w:rPr>
          <w:rFonts w:ascii="Arial" w:hAnsi="Arial" w:cs="Arial"/>
          <w:sz w:val="20"/>
          <w:szCs w:val="20"/>
        </w:rPr>
        <w:t xml:space="preserve">.  The use of DESs delivered by NHS England through their Area Teams is unlikely to change: it is already possible for CCGs to commission alternative Local Commissioned Service to mirror and enhance a DES.  Co-commissioning </w:t>
      </w:r>
      <w:r w:rsidRPr="00957699">
        <w:rPr>
          <w:rFonts w:ascii="Arial" w:hAnsi="Arial" w:cs="Arial"/>
          <w:sz w:val="20"/>
          <w:szCs w:val="20"/>
        </w:rPr>
        <w:t>could</w:t>
      </w:r>
      <w:r w:rsidR="00042AD1" w:rsidRPr="00957699">
        <w:rPr>
          <w:rFonts w:ascii="Arial" w:hAnsi="Arial" w:cs="Arial"/>
          <w:sz w:val="20"/>
          <w:szCs w:val="20"/>
        </w:rPr>
        <w:t xml:space="preserve"> simply mean increased local commissioning, by CCGs, which the LMC would support</w:t>
      </w:r>
      <w:r w:rsidRPr="00957699">
        <w:rPr>
          <w:rFonts w:ascii="Arial" w:hAnsi="Arial" w:cs="Arial"/>
          <w:sz w:val="20"/>
          <w:szCs w:val="20"/>
        </w:rPr>
        <w:t>.  The role for</w:t>
      </w:r>
      <w:r w:rsidR="00042AD1" w:rsidRPr="00957699">
        <w:rPr>
          <w:rFonts w:ascii="Arial" w:hAnsi="Arial" w:cs="Arial"/>
          <w:sz w:val="20"/>
          <w:szCs w:val="20"/>
        </w:rPr>
        <w:t xml:space="preserve"> CCGs in improving and monitoring primary care standards</w:t>
      </w:r>
      <w:r w:rsidRPr="00957699">
        <w:rPr>
          <w:rFonts w:ascii="Arial" w:hAnsi="Arial" w:cs="Arial"/>
          <w:sz w:val="20"/>
          <w:szCs w:val="20"/>
        </w:rPr>
        <w:t xml:space="preserve"> is</w:t>
      </w:r>
      <w:r w:rsidR="00042AD1" w:rsidRPr="00957699">
        <w:rPr>
          <w:rFonts w:ascii="Arial" w:hAnsi="Arial" w:cs="Arial"/>
          <w:sz w:val="20"/>
          <w:szCs w:val="20"/>
        </w:rPr>
        <w:t xml:space="preserve"> to an extent foreshadowed by some of the London General Practice: A Call for Action proposals.  </w:t>
      </w:r>
    </w:p>
    <w:p w:rsidR="00042AD1" w:rsidRPr="00957699" w:rsidRDefault="00042AD1" w:rsidP="00926AE8">
      <w:pPr>
        <w:tabs>
          <w:tab w:val="left" w:pos="567"/>
        </w:tabs>
        <w:jc w:val="both"/>
        <w:rPr>
          <w:rFonts w:ascii="Arial" w:hAnsi="Arial" w:cs="Arial"/>
          <w:sz w:val="20"/>
          <w:szCs w:val="20"/>
        </w:rPr>
      </w:pPr>
    </w:p>
    <w:p w:rsidR="00042AD1" w:rsidRPr="00957699" w:rsidRDefault="00042AD1" w:rsidP="00926AE8">
      <w:pPr>
        <w:tabs>
          <w:tab w:val="left" w:pos="567"/>
        </w:tabs>
        <w:jc w:val="both"/>
        <w:rPr>
          <w:rFonts w:ascii="Arial" w:hAnsi="Arial" w:cs="Arial"/>
          <w:sz w:val="20"/>
          <w:szCs w:val="20"/>
        </w:rPr>
      </w:pPr>
      <w:r w:rsidRPr="00957699">
        <w:rPr>
          <w:rFonts w:ascii="Arial" w:hAnsi="Arial" w:cs="Arial"/>
          <w:sz w:val="20"/>
          <w:szCs w:val="20"/>
        </w:rPr>
        <w:t>CCGs have been asked to put forward their proposals by 20</w:t>
      </w:r>
      <w:r w:rsidRPr="00957699">
        <w:rPr>
          <w:rFonts w:ascii="Arial" w:hAnsi="Arial" w:cs="Arial"/>
          <w:sz w:val="20"/>
          <w:szCs w:val="20"/>
          <w:vertAlign w:val="superscript"/>
        </w:rPr>
        <w:t>th</w:t>
      </w:r>
      <w:r w:rsidRPr="00957699">
        <w:rPr>
          <w:rFonts w:ascii="Arial" w:hAnsi="Arial" w:cs="Arial"/>
          <w:sz w:val="20"/>
          <w:szCs w:val="20"/>
        </w:rPr>
        <w:t xml:space="preserve"> June</w:t>
      </w:r>
      <w:r w:rsidR="00867D84" w:rsidRPr="00957699">
        <w:rPr>
          <w:rFonts w:ascii="Arial" w:hAnsi="Arial" w:cs="Arial"/>
          <w:sz w:val="20"/>
          <w:szCs w:val="20"/>
        </w:rPr>
        <w:t>, and to discuss these with member practices beforehand</w:t>
      </w:r>
      <w:r w:rsidRPr="00957699">
        <w:rPr>
          <w:rFonts w:ascii="Arial" w:hAnsi="Arial" w:cs="Arial"/>
          <w:sz w:val="20"/>
          <w:szCs w:val="20"/>
        </w:rPr>
        <w:t>.</w:t>
      </w:r>
    </w:p>
    <w:p w:rsidR="00673A9A" w:rsidRPr="00957699" w:rsidRDefault="00673A9A" w:rsidP="00926AE8">
      <w:pPr>
        <w:tabs>
          <w:tab w:val="left" w:pos="567"/>
        </w:tabs>
        <w:jc w:val="both"/>
        <w:rPr>
          <w:rFonts w:ascii="Arial" w:hAnsi="Arial" w:cs="Arial"/>
          <w:sz w:val="20"/>
          <w:szCs w:val="20"/>
        </w:rPr>
      </w:pPr>
    </w:p>
    <w:p w:rsidR="00F0290C" w:rsidRPr="00957699" w:rsidRDefault="00F0290C" w:rsidP="00926AE8">
      <w:pPr>
        <w:rPr>
          <w:rFonts w:ascii="Arial" w:hAnsi="Arial" w:cs="Arial"/>
          <w:sz w:val="20"/>
          <w:szCs w:val="20"/>
        </w:rPr>
      </w:pPr>
      <w:proofErr w:type="gramStart"/>
      <w:r w:rsidRPr="00957699">
        <w:rPr>
          <w:rFonts w:ascii="Arial" w:hAnsi="Arial" w:cs="Arial"/>
          <w:b/>
          <w:sz w:val="20"/>
          <w:szCs w:val="20"/>
        </w:rPr>
        <w:t>Your</w:t>
      </w:r>
      <w:proofErr w:type="gramEnd"/>
      <w:r w:rsidRPr="00957699">
        <w:rPr>
          <w:rFonts w:ascii="Arial" w:hAnsi="Arial" w:cs="Arial"/>
          <w:b/>
          <w:sz w:val="20"/>
          <w:szCs w:val="20"/>
        </w:rPr>
        <w:t xml:space="preserve"> ‘GP Cares’ Campaign</w:t>
      </w:r>
    </w:p>
    <w:p w:rsidR="00F0290C" w:rsidRPr="00957699" w:rsidRDefault="00F0290C" w:rsidP="00926AE8">
      <w:pPr>
        <w:rPr>
          <w:rFonts w:ascii="Arial" w:hAnsi="Arial" w:cs="Arial"/>
          <w:sz w:val="20"/>
          <w:szCs w:val="20"/>
        </w:rPr>
      </w:pPr>
      <w:r w:rsidRPr="00957699">
        <w:rPr>
          <w:rFonts w:ascii="Arial" w:hAnsi="Arial" w:cs="Arial"/>
          <w:sz w:val="20"/>
          <w:szCs w:val="20"/>
        </w:rPr>
        <w:t>The BMA on behalf of the GPC has commenced a two month period of campaigning, covering the LMC Conference and BMA AGM, around the strapline ‘Your GP Cares’.</w:t>
      </w:r>
    </w:p>
    <w:p w:rsidR="00F0290C" w:rsidRPr="00957699" w:rsidRDefault="00F0290C" w:rsidP="00926AE8">
      <w:pPr>
        <w:rPr>
          <w:rFonts w:ascii="Arial" w:hAnsi="Arial" w:cs="Arial"/>
          <w:sz w:val="20"/>
          <w:szCs w:val="20"/>
        </w:rPr>
      </w:pPr>
    </w:p>
    <w:p w:rsidR="00F0290C" w:rsidRPr="00957699" w:rsidRDefault="00F0290C" w:rsidP="00926AE8">
      <w:pPr>
        <w:rPr>
          <w:rFonts w:ascii="Arial" w:hAnsi="Arial" w:cs="Arial"/>
          <w:sz w:val="20"/>
          <w:szCs w:val="20"/>
        </w:rPr>
      </w:pPr>
      <w:r w:rsidRPr="00957699">
        <w:rPr>
          <w:rFonts w:ascii="Arial" w:hAnsi="Arial" w:cs="Arial"/>
          <w:sz w:val="20"/>
          <w:szCs w:val="20"/>
        </w:rPr>
        <w:t>I have written to all practices drawing attention to this campaign; the BMA has prepared a briefing paper, and two initial posters.  I have sent these details to all practices.</w:t>
      </w:r>
    </w:p>
    <w:p w:rsidR="00F0290C" w:rsidRPr="00957699" w:rsidRDefault="00F0290C" w:rsidP="00926AE8">
      <w:pPr>
        <w:rPr>
          <w:rFonts w:ascii="Arial" w:hAnsi="Arial" w:cs="Arial"/>
          <w:sz w:val="20"/>
          <w:szCs w:val="20"/>
        </w:rPr>
      </w:pPr>
    </w:p>
    <w:p w:rsidR="00F0290C" w:rsidRPr="00957699" w:rsidRDefault="00F0290C" w:rsidP="00321AA2">
      <w:pPr>
        <w:spacing w:after="120"/>
        <w:rPr>
          <w:rFonts w:ascii="Arial" w:hAnsi="Arial" w:cs="Arial"/>
          <w:sz w:val="20"/>
          <w:szCs w:val="20"/>
        </w:rPr>
      </w:pPr>
      <w:r w:rsidRPr="00957699">
        <w:rPr>
          <w:rFonts w:ascii="Arial" w:hAnsi="Arial" w:cs="Arial"/>
          <w:sz w:val="20"/>
          <w:szCs w:val="20"/>
        </w:rPr>
        <w:t>There are also vignettes from GP colleagues under the themes:</w:t>
      </w:r>
    </w:p>
    <w:p w:rsidR="00F0290C" w:rsidRPr="00957699" w:rsidRDefault="00F0290C" w:rsidP="007D0AD8">
      <w:pPr>
        <w:numPr>
          <w:ilvl w:val="0"/>
          <w:numId w:val="30"/>
        </w:numPr>
        <w:ind w:left="1276" w:hanging="425"/>
        <w:rPr>
          <w:rFonts w:ascii="Arial" w:hAnsi="Arial" w:cs="Arial"/>
          <w:sz w:val="20"/>
          <w:szCs w:val="20"/>
        </w:rPr>
      </w:pPr>
      <w:r w:rsidRPr="00957699">
        <w:rPr>
          <w:rFonts w:ascii="Arial" w:hAnsi="Arial" w:cs="Arial"/>
          <w:sz w:val="20"/>
          <w:szCs w:val="20"/>
        </w:rPr>
        <w:t>A crisis of supply and demand</w:t>
      </w:r>
    </w:p>
    <w:p w:rsidR="00F0290C" w:rsidRPr="00957699" w:rsidRDefault="00F0290C" w:rsidP="007D0AD8">
      <w:pPr>
        <w:numPr>
          <w:ilvl w:val="0"/>
          <w:numId w:val="30"/>
        </w:numPr>
        <w:ind w:left="1276" w:hanging="425"/>
        <w:rPr>
          <w:rFonts w:ascii="Arial" w:hAnsi="Arial" w:cs="Arial"/>
          <w:sz w:val="20"/>
          <w:szCs w:val="20"/>
        </w:rPr>
      </w:pPr>
      <w:r w:rsidRPr="00957699">
        <w:rPr>
          <w:rFonts w:ascii="Arial" w:hAnsi="Arial" w:cs="Arial"/>
          <w:sz w:val="20"/>
          <w:szCs w:val="20"/>
        </w:rPr>
        <w:t>Not enough hours in the day</w:t>
      </w:r>
    </w:p>
    <w:p w:rsidR="00F0290C" w:rsidRPr="00957699" w:rsidRDefault="00F0290C" w:rsidP="007D0AD8">
      <w:pPr>
        <w:numPr>
          <w:ilvl w:val="0"/>
          <w:numId w:val="30"/>
        </w:numPr>
        <w:ind w:left="1276" w:hanging="425"/>
        <w:rPr>
          <w:rFonts w:ascii="Arial" w:hAnsi="Arial" w:cs="Arial"/>
          <w:sz w:val="20"/>
          <w:szCs w:val="20"/>
        </w:rPr>
      </w:pPr>
      <w:r w:rsidRPr="00957699">
        <w:rPr>
          <w:rFonts w:ascii="Arial" w:hAnsi="Arial" w:cs="Arial"/>
          <w:sz w:val="20"/>
          <w:szCs w:val="20"/>
        </w:rPr>
        <w:t>Overcrowded and oversubscribed</w:t>
      </w:r>
    </w:p>
    <w:p w:rsidR="00F0290C" w:rsidRPr="00957699" w:rsidRDefault="00F0290C" w:rsidP="007D0AD8">
      <w:pPr>
        <w:numPr>
          <w:ilvl w:val="0"/>
          <w:numId w:val="30"/>
        </w:numPr>
        <w:ind w:left="1276" w:hanging="425"/>
        <w:rPr>
          <w:rFonts w:ascii="Arial" w:hAnsi="Arial" w:cs="Arial"/>
          <w:sz w:val="20"/>
          <w:szCs w:val="20"/>
        </w:rPr>
      </w:pPr>
      <w:r w:rsidRPr="00957699">
        <w:rPr>
          <w:rFonts w:ascii="Arial" w:hAnsi="Arial" w:cs="Arial"/>
          <w:sz w:val="20"/>
          <w:szCs w:val="20"/>
        </w:rPr>
        <w:t>Juggling priorities and complex needs</w:t>
      </w:r>
    </w:p>
    <w:p w:rsidR="00F0290C" w:rsidRPr="00957699" w:rsidRDefault="00F0290C" w:rsidP="00F0290C">
      <w:pPr>
        <w:rPr>
          <w:rFonts w:ascii="Arial" w:hAnsi="Arial" w:cs="Arial"/>
          <w:sz w:val="20"/>
          <w:szCs w:val="20"/>
        </w:rPr>
      </w:pPr>
    </w:p>
    <w:p w:rsidR="00F0290C" w:rsidRPr="00957699" w:rsidRDefault="00F0290C" w:rsidP="00926AE8">
      <w:pPr>
        <w:rPr>
          <w:rFonts w:ascii="Arial" w:hAnsi="Arial" w:cs="Arial"/>
          <w:sz w:val="20"/>
          <w:szCs w:val="20"/>
        </w:rPr>
      </w:pPr>
      <w:r w:rsidRPr="00957699">
        <w:rPr>
          <w:rFonts w:ascii="Arial" w:hAnsi="Arial" w:cs="Arial"/>
          <w:sz w:val="20"/>
          <w:szCs w:val="20"/>
        </w:rPr>
        <w:t>Sadly, I suspect all colleagues will share some of these experiences and although the core enthusiasm and job-satisfaction for many of us remains, the fire is dimmed.</w:t>
      </w:r>
    </w:p>
    <w:p w:rsidR="00F0290C" w:rsidRPr="00957699" w:rsidRDefault="00F0290C" w:rsidP="00926AE8">
      <w:pPr>
        <w:rPr>
          <w:rFonts w:ascii="Arial" w:hAnsi="Arial" w:cs="Arial"/>
          <w:sz w:val="20"/>
          <w:szCs w:val="20"/>
        </w:rPr>
      </w:pPr>
    </w:p>
    <w:p w:rsidR="00F0290C" w:rsidRPr="00957699" w:rsidRDefault="00F0290C" w:rsidP="00926AE8">
      <w:pPr>
        <w:rPr>
          <w:rFonts w:ascii="Arial" w:hAnsi="Arial" w:cs="Arial"/>
          <w:sz w:val="20"/>
          <w:szCs w:val="20"/>
        </w:rPr>
      </w:pPr>
      <w:r w:rsidRPr="00957699">
        <w:rPr>
          <w:rFonts w:ascii="Arial" w:hAnsi="Arial" w:cs="Arial"/>
          <w:sz w:val="20"/>
          <w:szCs w:val="20"/>
        </w:rPr>
        <w:t>There will be further publicity material in the weeks ahead.</w:t>
      </w:r>
    </w:p>
    <w:p w:rsidR="00F0290C" w:rsidRPr="00957699" w:rsidRDefault="00F0290C" w:rsidP="00F0290C">
      <w:pPr>
        <w:ind w:left="567"/>
        <w:rPr>
          <w:rFonts w:ascii="Arial" w:hAnsi="Arial" w:cs="Arial"/>
          <w:sz w:val="20"/>
          <w:szCs w:val="20"/>
        </w:rPr>
      </w:pPr>
    </w:p>
    <w:p w:rsidR="008D492C" w:rsidRPr="00957699" w:rsidRDefault="008D492C" w:rsidP="00926AE8">
      <w:pPr>
        <w:tabs>
          <w:tab w:val="left" w:pos="567"/>
        </w:tabs>
        <w:jc w:val="both"/>
        <w:rPr>
          <w:rFonts w:ascii="Arial" w:hAnsi="Arial" w:cs="Arial"/>
          <w:b/>
          <w:sz w:val="20"/>
          <w:szCs w:val="20"/>
        </w:rPr>
      </w:pPr>
      <w:r w:rsidRPr="00957699">
        <w:rPr>
          <w:rFonts w:ascii="Arial" w:hAnsi="Arial" w:cs="Arial"/>
          <w:b/>
          <w:sz w:val="20"/>
          <w:szCs w:val="20"/>
        </w:rPr>
        <w:t>CQC</w:t>
      </w:r>
    </w:p>
    <w:p w:rsidR="008D492C" w:rsidRPr="00957699" w:rsidRDefault="008D492C" w:rsidP="00926AE8">
      <w:pPr>
        <w:jc w:val="both"/>
        <w:rPr>
          <w:rFonts w:ascii="Arial" w:hAnsi="Arial" w:cs="Arial"/>
          <w:sz w:val="20"/>
          <w:szCs w:val="20"/>
        </w:rPr>
      </w:pPr>
      <w:r w:rsidRPr="00957699">
        <w:rPr>
          <w:rFonts w:ascii="Arial" w:hAnsi="Arial" w:cs="Arial"/>
          <w:sz w:val="20"/>
          <w:szCs w:val="20"/>
        </w:rPr>
        <w:t>The CQC has published a proposed handbook for GP practice and out-of-hours service inspections: this is being reviewed carefully by the GPC Contracts and Regulations Sub-Committee.</w:t>
      </w:r>
    </w:p>
    <w:p w:rsidR="008D492C" w:rsidRPr="00957699" w:rsidRDefault="008D492C" w:rsidP="00926AE8">
      <w:pPr>
        <w:ind w:hanging="567"/>
        <w:jc w:val="both"/>
        <w:rPr>
          <w:rFonts w:ascii="Arial" w:hAnsi="Arial" w:cs="Arial"/>
          <w:sz w:val="20"/>
          <w:szCs w:val="20"/>
        </w:rPr>
      </w:pPr>
    </w:p>
    <w:p w:rsidR="008D492C" w:rsidRPr="00957699" w:rsidRDefault="008D492C" w:rsidP="00321AA2">
      <w:pPr>
        <w:spacing w:after="120"/>
        <w:jc w:val="both"/>
        <w:rPr>
          <w:rFonts w:ascii="Arial" w:hAnsi="Arial" w:cs="Arial"/>
          <w:sz w:val="20"/>
          <w:szCs w:val="20"/>
        </w:rPr>
      </w:pPr>
      <w:r w:rsidRPr="00957699">
        <w:rPr>
          <w:rFonts w:ascii="Arial" w:hAnsi="Arial" w:cs="Arial"/>
          <w:sz w:val="20"/>
          <w:szCs w:val="20"/>
        </w:rPr>
        <w:t>The CQC is proposing an inspection process based on KLOE’s (Key Lines of Enquiry). There are four main sources of evidence:</w:t>
      </w:r>
    </w:p>
    <w:p w:rsidR="008D492C" w:rsidRPr="00321AA2" w:rsidRDefault="008D492C" w:rsidP="00926AE8">
      <w:pPr>
        <w:numPr>
          <w:ilvl w:val="0"/>
          <w:numId w:val="29"/>
        </w:numPr>
        <w:ind w:left="567" w:hanging="567"/>
        <w:jc w:val="both"/>
        <w:rPr>
          <w:rFonts w:ascii="Arial" w:hAnsi="Arial" w:cs="Arial"/>
          <w:sz w:val="20"/>
          <w:szCs w:val="20"/>
        </w:rPr>
      </w:pPr>
      <w:r w:rsidRPr="00321AA2">
        <w:rPr>
          <w:rFonts w:ascii="Arial" w:hAnsi="Arial" w:cs="Arial"/>
          <w:sz w:val="20"/>
          <w:szCs w:val="20"/>
        </w:rPr>
        <w:t>Ongoing local information from and about the provider</w:t>
      </w:r>
      <w:r w:rsidR="00321AA2" w:rsidRPr="00321AA2">
        <w:rPr>
          <w:rFonts w:ascii="Arial" w:hAnsi="Arial" w:cs="Arial"/>
          <w:sz w:val="20"/>
          <w:szCs w:val="20"/>
        </w:rPr>
        <w:t xml:space="preserve"> </w:t>
      </w:r>
      <w:r w:rsidRPr="00321AA2">
        <w:rPr>
          <w:rFonts w:ascii="Arial" w:hAnsi="Arial" w:cs="Arial"/>
          <w:sz w:val="20"/>
          <w:szCs w:val="20"/>
        </w:rPr>
        <w:t>(e.g.: complaints and compliments, staff comments)</w:t>
      </w:r>
    </w:p>
    <w:p w:rsidR="008D492C" w:rsidRPr="00321AA2" w:rsidRDefault="008D492C" w:rsidP="00926AE8">
      <w:pPr>
        <w:numPr>
          <w:ilvl w:val="0"/>
          <w:numId w:val="29"/>
        </w:numPr>
        <w:ind w:left="567" w:hanging="567"/>
        <w:jc w:val="both"/>
        <w:rPr>
          <w:rFonts w:ascii="Arial" w:hAnsi="Arial" w:cs="Arial"/>
          <w:sz w:val="20"/>
          <w:szCs w:val="20"/>
        </w:rPr>
      </w:pPr>
      <w:r w:rsidRPr="00321AA2">
        <w:rPr>
          <w:rFonts w:ascii="Arial" w:hAnsi="Arial" w:cs="Arial"/>
          <w:sz w:val="20"/>
          <w:szCs w:val="20"/>
        </w:rPr>
        <w:t>Intelligent Monitoring</w:t>
      </w:r>
      <w:r w:rsidR="00321AA2" w:rsidRPr="00321AA2">
        <w:rPr>
          <w:rFonts w:ascii="Arial" w:hAnsi="Arial" w:cs="Arial"/>
          <w:sz w:val="20"/>
          <w:szCs w:val="20"/>
        </w:rPr>
        <w:t xml:space="preserve"> </w:t>
      </w:r>
      <w:r w:rsidRPr="00321AA2">
        <w:rPr>
          <w:rFonts w:ascii="Arial" w:hAnsi="Arial" w:cs="Arial"/>
          <w:sz w:val="20"/>
          <w:szCs w:val="20"/>
        </w:rPr>
        <w:t>(patient surveys, QOF, public health data)</w:t>
      </w:r>
    </w:p>
    <w:p w:rsidR="008D492C" w:rsidRPr="00321AA2" w:rsidRDefault="008D492C" w:rsidP="00926AE8">
      <w:pPr>
        <w:numPr>
          <w:ilvl w:val="0"/>
          <w:numId w:val="29"/>
        </w:numPr>
        <w:ind w:left="567" w:hanging="567"/>
        <w:jc w:val="both"/>
        <w:rPr>
          <w:rFonts w:ascii="Arial" w:hAnsi="Arial" w:cs="Arial"/>
          <w:sz w:val="20"/>
          <w:szCs w:val="20"/>
        </w:rPr>
      </w:pPr>
      <w:r w:rsidRPr="00321AA2">
        <w:rPr>
          <w:rFonts w:ascii="Arial" w:hAnsi="Arial" w:cs="Arial"/>
          <w:sz w:val="20"/>
          <w:szCs w:val="20"/>
        </w:rPr>
        <w:t>Pre-inspection information gathering.</w:t>
      </w:r>
      <w:r w:rsidR="00321AA2" w:rsidRPr="00321AA2">
        <w:rPr>
          <w:rFonts w:ascii="Arial" w:hAnsi="Arial" w:cs="Arial"/>
          <w:sz w:val="20"/>
          <w:szCs w:val="20"/>
        </w:rPr>
        <w:t xml:space="preserve"> </w:t>
      </w:r>
      <w:r w:rsidRPr="00321AA2">
        <w:rPr>
          <w:rFonts w:ascii="Arial" w:hAnsi="Arial" w:cs="Arial"/>
          <w:sz w:val="20"/>
          <w:szCs w:val="20"/>
        </w:rPr>
        <w:t>(CQC records, national datasets, CCG, NHS England)</w:t>
      </w:r>
    </w:p>
    <w:p w:rsidR="008D492C" w:rsidRPr="00321AA2" w:rsidRDefault="008D492C" w:rsidP="00926AE8">
      <w:pPr>
        <w:numPr>
          <w:ilvl w:val="0"/>
          <w:numId w:val="29"/>
        </w:numPr>
        <w:ind w:left="567" w:hanging="567"/>
        <w:jc w:val="both"/>
        <w:rPr>
          <w:rFonts w:ascii="Arial" w:hAnsi="Arial" w:cs="Arial"/>
          <w:sz w:val="20"/>
          <w:szCs w:val="20"/>
        </w:rPr>
      </w:pPr>
      <w:r w:rsidRPr="00321AA2">
        <w:rPr>
          <w:rFonts w:ascii="Arial" w:hAnsi="Arial" w:cs="Arial"/>
          <w:sz w:val="20"/>
          <w:szCs w:val="20"/>
        </w:rPr>
        <w:t>Onsite Inspection</w:t>
      </w:r>
      <w:r w:rsidR="00321AA2" w:rsidRPr="00321AA2">
        <w:rPr>
          <w:rFonts w:ascii="Arial" w:hAnsi="Arial" w:cs="Arial"/>
          <w:sz w:val="20"/>
          <w:szCs w:val="20"/>
        </w:rPr>
        <w:t xml:space="preserve"> </w:t>
      </w:r>
      <w:r w:rsidRPr="00321AA2">
        <w:rPr>
          <w:rFonts w:ascii="Arial" w:hAnsi="Arial" w:cs="Arial"/>
          <w:sz w:val="20"/>
          <w:szCs w:val="20"/>
        </w:rPr>
        <w:t>(what the CQC observes, is told, and hears)</w:t>
      </w:r>
    </w:p>
    <w:p w:rsidR="008D492C" w:rsidRPr="00957699" w:rsidRDefault="008D492C" w:rsidP="00926AE8">
      <w:pPr>
        <w:ind w:hanging="567"/>
        <w:jc w:val="both"/>
        <w:rPr>
          <w:rFonts w:ascii="Arial" w:hAnsi="Arial" w:cs="Arial"/>
          <w:sz w:val="20"/>
          <w:szCs w:val="20"/>
        </w:rPr>
      </w:pPr>
    </w:p>
    <w:p w:rsidR="008D492C" w:rsidRPr="00957699" w:rsidRDefault="008D492C" w:rsidP="00926AE8">
      <w:pPr>
        <w:jc w:val="both"/>
        <w:rPr>
          <w:rFonts w:ascii="Arial" w:hAnsi="Arial" w:cs="Arial"/>
          <w:sz w:val="20"/>
          <w:szCs w:val="20"/>
        </w:rPr>
      </w:pPr>
      <w:r w:rsidRPr="00957699">
        <w:rPr>
          <w:rFonts w:ascii="Arial" w:hAnsi="Arial" w:cs="Arial"/>
          <w:sz w:val="20"/>
          <w:szCs w:val="20"/>
        </w:rPr>
        <w:t xml:space="preserve">Based on this the CQC Inspector will write, following discussion within the Inspection Team, a report which judges the quality of the services that are reviewed and rates them as: outstanding, good, requires </w:t>
      </w:r>
      <w:r w:rsidRPr="00957699">
        <w:rPr>
          <w:rFonts w:ascii="Arial" w:hAnsi="Arial" w:cs="Arial"/>
          <w:sz w:val="20"/>
          <w:szCs w:val="20"/>
        </w:rPr>
        <w:lastRenderedPageBreak/>
        <w:t>improvement, or inadequate.  The definitive rating process will not commence (on current timescales) until October 2014 but some ‘shadow’ ratings will be provided prior to then.</w:t>
      </w:r>
    </w:p>
    <w:p w:rsidR="008D492C" w:rsidRPr="00957699" w:rsidRDefault="008D492C" w:rsidP="00926AE8">
      <w:pPr>
        <w:ind w:hanging="567"/>
        <w:jc w:val="both"/>
        <w:rPr>
          <w:rFonts w:ascii="Arial" w:hAnsi="Arial" w:cs="Arial"/>
          <w:sz w:val="20"/>
          <w:szCs w:val="20"/>
        </w:rPr>
      </w:pPr>
    </w:p>
    <w:p w:rsidR="008D492C" w:rsidRPr="00957699" w:rsidRDefault="008D492C" w:rsidP="00321AA2">
      <w:pPr>
        <w:spacing w:after="120"/>
        <w:jc w:val="both"/>
        <w:rPr>
          <w:rFonts w:ascii="Arial" w:hAnsi="Arial" w:cs="Arial"/>
          <w:sz w:val="20"/>
          <w:szCs w:val="20"/>
        </w:rPr>
      </w:pPr>
      <w:r w:rsidRPr="00957699">
        <w:rPr>
          <w:rFonts w:ascii="Arial" w:hAnsi="Arial" w:cs="Arial"/>
          <w:sz w:val="20"/>
          <w:szCs w:val="20"/>
        </w:rPr>
        <w:t xml:space="preserve">The CQC’s Inspection Team will be invited to form a judgement around the following patient groups: </w:t>
      </w:r>
    </w:p>
    <w:p w:rsidR="008D492C" w:rsidRPr="00957699" w:rsidRDefault="008D492C" w:rsidP="00926AE8">
      <w:pPr>
        <w:numPr>
          <w:ilvl w:val="0"/>
          <w:numId w:val="29"/>
        </w:numPr>
        <w:ind w:left="0" w:firstLine="0"/>
        <w:jc w:val="both"/>
        <w:rPr>
          <w:rFonts w:ascii="Arial" w:hAnsi="Arial" w:cs="Arial"/>
          <w:sz w:val="20"/>
          <w:szCs w:val="20"/>
        </w:rPr>
      </w:pPr>
      <w:r w:rsidRPr="00957699">
        <w:rPr>
          <w:rFonts w:ascii="Arial" w:hAnsi="Arial" w:cs="Arial"/>
          <w:sz w:val="20"/>
          <w:szCs w:val="20"/>
        </w:rPr>
        <w:t>Elderly</w:t>
      </w:r>
    </w:p>
    <w:p w:rsidR="008D492C" w:rsidRPr="00957699" w:rsidRDefault="008D492C" w:rsidP="00926AE8">
      <w:pPr>
        <w:numPr>
          <w:ilvl w:val="0"/>
          <w:numId w:val="29"/>
        </w:numPr>
        <w:ind w:left="0" w:firstLine="0"/>
        <w:jc w:val="both"/>
        <w:rPr>
          <w:rFonts w:ascii="Arial" w:hAnsi="Arial" w:cs="Arial"/>
          <w:sz w:val="20"/>
          <w:szCs w:val="20"/>
        </w:rPr>
      </w:pPr>
      <w:r w:rsidRPr="00957699">
        <w:rPr>
          <w:rFonts w:ascii="Arial" w:hAnsi="Arial" w:cs="Arial"/>
          <w:sz w:val="20"/>
          <w:szCs w:val="20"/>
        </w:rPr>
        <w:t>Working population</w:t>
      </w:r>
    </w:p>
    <w:p w:rsidR="008D492C" w:rsidRPr="00957699" w:rsidRDefault="008D492C" w:rsidP="00926AE8">
      <w:pPr>
        <w:numPr>
          <w:ilvl w:val="0"/>
          <w:numId w:val="29"/>
        </w:numPr>
        <w:ind w:left="0" w:firstLine="0"/>
        <w:jc w:val="both"/>
        <w:rPr>
          <w:rFonts w:ascii="Arial" w:hAnsi="Arial" w:cs="Arial"/>
          <w:sz w:val="20"/>
          <w:szCs w:val="20"/>
        </w:rPr>
      </w:pPr>
      <w:r w:rsidRPr="00957699">
        <w:rPr>
          <w:rFonts w:ascii="Arial" w:hAnsi="Arial" w:cs="Arial"/>
          <w:sz w:val="20"/>
          <w:szCs w:val="20"/>
        </w:rPr>
        <w:t>Patients with long-term health problems</w:t>
      </w:r>
    </w:p>
    <w:p w:rsidR="008D492C" w:rsidRPr="00957699" w:rsidRDefault="008D492C" w:rsidP="00926AE8">
      <w:pPr>
        <w:numPr>
          <w:ilvl w:val="0"/>
          <w:numId w:val="29"/>
        </w:numPr>
        <w:ind w:left="0" w:firstLine="0"/>
        <w:jc w:val="both"/>
        <w:rPr>
          <w:rFonts w:ascii="Arial" w:hAnsi="Arial" w:cs="Arial"/>
          <w:sz w:val="20"/>
          <w:szCs w:val="20"/>
        </w:rPr>
      </w:pPr>
      <w:r w:rsidRPr="00957699">
        <w:rPr>
          <w:rFonts w:ascii="Arial" w:hAnsi="Arial" w:cs="Arial"/>
          <w:sz w:val="20"/>
          <w:szCs w:val="20"/>
        </w:rPr>
        <w:t>Mothers, babies, and children</w:t>
      </w:r>
    </w:p>
    <w:p w:rsidR="008D492C" w:rsidRPr="00957699" w:rsidRDefault="008D492C" w:rsidP="00926AE8">
      <w:pPr>
        <w:numPr>
          <w:ilvl w:val="0"/>
          <w:numId w:val="29"/>
        </w:numPr>
        <w:ind w:left="0" w:firstLine="0"/>
        <w:jc w:val="both"/>
        <w:rPr>
          <w:rFonts w:ascii="Arial" w:hAnsi="Arial" w:cs="Arial"/>
          <w:sz w:val="20"/>
          <w:szCs w:val="20"/>
        </w:rPr>
      </w:pPr>
      <w:r w:rsidRPr="00957699">
        <w:rPr>
          <w:rFonts w:ascii="Arial" w:hAnsi="Arial" w:cs="Arial"/>
          <w:sz w:val="20"/>
          <w:szCs w:val="20"/>
        </w:rPr>
        <w:t>Patients with mental health problems</w:t>
      </w:r>
    </w:p>
    <w:p w:rsidR="008D492C" w:rsidRPr="00957699" w:rsidRDefault="008D492C" w:rsidP="00926AE8">
      <w:pPr>
        <w:ind w:hanging="567"/>
        <w:jc w:val="both"/>
        <w:rPr>
          <w:rFonts w:ascii="Arial" w:hAnsi="Arial" w:cs="Arial"/>
          <w:sz w:val="20"/>
          <w:szCs w:val="20"/>
        </w:rPr>
      </w:pPr>
    </w:p>
    <w:p w:rsidR="008D492C" w:rsidRPr="00957699" w:rsidRDefault="008D492C" w:rsidP="00926AE8">
      <w:pPr>
        <w:jc w:val="both"/>
        <w:rPr>
          <w:rFonts w:ascii="Arial" w:hAnsi="Arial" w:cs="Arial"/>
          <w:sz w:val="20"/>
          <w:szCs w:val="20"/>
        </w:rPr>
      </w:pPr>
      <w:proofErr w:type="gramStart"/>
      <w:r w:rsidRPr="00957699">
        <w:rPr>
          <w:rFonts w:ascii="Arial" w:hAnsi="Arial" w:cs="Arial"/>
          <w:sz w:val="20"/>
          <w:szCs w:val="20"/>
        </w:rPr>
        <w:t>asking</w:t>
      </w:r>
      <w:proofErr w:type="gramEnd"/>
      <w:r w:rsidRPr="00957699">
        <w:rPr>
          <w:rFonts w:ascii="Arial" w:hAnsi="Arial" w:cs="Arial"/>
          <w:sz w:val="20"/>
          <w:szCs w:val="20"/>
        </w:rPr>
        <w:t xml:space="preserve"> whether they receive a service that is: safe, caring, effective, well-lead, and responsive.</w:t>
      </w:r>
    </w:p>
    <w:p w:rsidR="008D492C" w:rsidRPr="00957699" w:rsidRDefault="008D492C" w:rsidP="00926AE8">
      <w:pPr>
        <w:jc w:val="both"/>
        <w:rPr>
          <w:rFonts w:ascii="Arial" w:hAnsi="Arial" w:cs="Arial"/>
          <w:sz w:val="20"/>
          <w:szCs w:val="20"/>
        </w:rPr>
      </w:pPr>
    </w:p>
    <w:p w:rsidR="008D492C" w:rsidRPr="00957699" w:rsidRDefault="008D492C" w:rsidP="00926AE8">
      <w:pPr>
        <w:jc w:val="both"/>
        <w:rPr>
          <w:rFonts w:ascii="Arial" w:hAnsi="Arial" w:cs="Arial"/>
          <w:sz w:val="20"/>
          <w:szCs w:val="20"/>
        </w:rPr>
      </w:pPr>
      <w:proofErr w:type="gramStart"/>
      <w:r w:rsidRPr="00957699">
        <w:rPr>
          <w:rFonts w:ascii="Arial" w:hAnsi="Arial" w:cs="Arial"/>
          <w:sz w:val="20"/>
          <w:szCs w:val="20"/>
        </w:rPr>
        <w:t>The CQC will now start visiting practices (and Out-of-Hours services) based on their CCG area; a proportion of practices will be inspected on a proposed two yearly cycle.</w:t>
      </w:r>
      <w:proofErr w:type="gramEnd"/>
      <w:r w:rsidRPr="00957699">
        <w:rPr>
          <w:rFonts w:ascii="Arial" w:hAnsi="Arial" w:cs="Arial"/>
          <w:sz w:val="20"/>
          <w:szCs w:val="20"/>
        </w:rPr>
        <w:t xml:space="preserve">  The CCG area will be announced four weeks in advance, and individual practices will now be given two weeks’ notice.  Practices will be asked, in advance, to provide some information, including results from patient surveys, any complaints or significant events, over the past twelve months, and what has been learned from these.  Within the LMC Confederation the only CCG to be selected for this first round of visits is Brighton.</w:t>
      </w:r>
    </w:p>
    <w:p w:rsidR="008D492C" w:rsidRPr="00957699" w:rsidRDefault="008D492C" w:rsidP="00926AE8">
      <w:pPr>
        <w:jc w:val="both"/>
        <w:rPr>
          <w:rFonts w:ascii="Arial" w:hAnsi="Arial" w:cs="Arial"/>
          <w:sz w:val="20"/>
          <w:szCs w:val="20"/>
        </w:rPr>
      </w:pPr>
    </w:p>
    <w:p w:rsidR="008D492C" w:rsidRPr="00957699" w:rsidRDefault="008D492C" w:rsidP="00926AE8">
      <w:pPr>
        <w:jc w:val="both"/>
        <w:rPr>
          <w:rFonts w:ascii="Arial" w:hAnsi="Arial" w:cs="Arial"/>
          <w:sz w:val="20"/>
          <w:szCs w:val="20"/>
        </w:rPr>
      </w:pPr>
      <w:r w:rsidRPr="00957699">
        <w:rPr>
          <w:rFonts w:ascii="Arial" w:hAnsi="Arial" w:cs="Arial"/>
          <w:sz w:val="20"/>
          <w:szCs w:val="20"/>
        </w:rPr>
        <w:t>There is still considerable work to do in terms of understanding how the CQC will translate the information on the very disparate nature of GP practices into ratings that are consistent across practices, and also create an aggregate overall rating.  The GPC is particularly concerned about the rating system, but it is clear the CQC can only develop this by trialling it, which will be happening over the next six months.</w:t>
      </w:r>
    </w:p>
    <w:p w:rsidR="008D492C" w:rsidRPr="00957699" w:rsidRDefault="008D492C" w:rsidP="00926AE8">
      <w:pPr>
        <w:jc w:val="both"/>
        <w:rPr>
          <w:rFonts w:ascii="Arial" w:hAnsi="Arial" w:cs="Arial"/>
          <w:sz w:val="20"/>
          <w:szCs w:val="20"/>
        </w:rPr>
      </w:pPr>
    </w:p>
    <w:p w:rsidR="008D492C" w:rsidRPr="00957699" w:rsidRDefault="008D492C" w:rsidP="00926AE8">
      <w:pPr>
        <w:jc w:val="both"/>
        <w:rPr>
          <w:rFonts w:ascii="Arial" w:hAnsi="Arial" w:cs="Arial"/>
          <w:sz w:val="20"/>
          <w:szCs w:val="20"/>
        </w:rPr>
      </w:pPr>
      <w:r w:rsidRPr="00957699">
        <w:rPr>
          <w:rFonts w:ascii="Arial" w:hAnsi="Arial" w:cs="Arial"/>
          <w:sz w:val="20"/>
          <w:szCs w:val="20"/>
        </w:rPr>
        <w:t>All details of the handbook and proposals are available via the CQC website (</w:t>
      </w:r>
      <w:hyperlink r:id="rId10" w:history="1">
        <w:r w:rsidRPr="00957699">
          <w:rPr>
            <w:rStyle w:val="Hyperlink"/>
            <w:rFonts w:ascii="Arial" w:hAnsi="Arial" w:cs="Arial"/>
            <w:sz w:val="20"/>
            <w:szCs w:val="20"/>
          </w:rPr>
          <w:t>www.cqc.org.uk</w:t>
        </w:r>
      </w:hyperlink>
      <w:r w:rsidRPr="00957699">
        <w:rPr>
          <w:rFonts w:ascii="Arial" w:hAnsi="Arial" w:cs="Arial"/>
          <w:sz w:val="20"/>
          <w:szCs w:val="20"/>
        </w:rPr>
        <w:t>) and the finished handbook, which is essentially a guide to the Inspection process, will be available to all practices.</w:t>
      </w:r>
    </w:p>
    <w:p w:rsidR="00564694" w:rsidRPr="00957699" w:rsidRDefault="00564694" w:rsidP="00BE3C46">
      <w:pPr>
        <w:rPr>
          <w:rFonts w:ascii="Arial" w:hAnsi="Arial" w:cs="Arial"/>
          <w:sz w:val="20"/>
          <w:szCs w:val="20"/>
        </w:rPr>
      </w:pPr>
    </w:p>
    <w:p w:rsidR="00BE3C46" w:rsidRPr="00957699" w:rsidRDefault="00564694" w:rsidP="00926AE8">
      <w:pPr>
        <w:tabs>
          <w:tab w:val="left" w:pos="567"/>
        </w:tabs>
        <w:rPr>
          <w:rFonts w:ascii="Arial" w:hAnsi="Arial" w:cs="Arial"/>
          <w:b/>
          <w:sz w:val="20"/>
          <w:szCs w:val="20"/>
        </w:rPr>
      </w:pPr>
      <w:r w:rsidRPr="00957699">
        <w:rPr>
          <w:rFonts w:ascii="Arial" w:hAnsi="Arial" w:cs="Arial"/>
          <w:b/>
          <w:sz w:val="20"/>
          <w:szCs w:val="20"/>
        </w:rPr>
        <w:t>Flu Immunisation Campaign</w:t>
      </w:r>
    </w:p>
    <w:p w:rsidR="00564694" w:rsidRPr="00957699" w:rsidRDefault="00564694" w:rsidP="00926AE8">
      <w:pPr>
        <w:rPr>
          <w:rFonts w:ascii="Arial" w:hAnsi="Arial" w:cs="Arial"/>
          <w:sz w:val="20"/>
          <w:szCs w:val="20"/>
        </w:rPr>
      </w:pPr>
      <w:r w:rsidRPr="00957699">
        <w:rPr>
          <w:rFonts w:ascii="Arial" w:hAnsi="Arial" w:cs="Arial"/>
          <w:sz w:val="20"/>
          <w:szCs w:val="20"/>
        </w:rPr>
        <w:t xml:space="preserve">NHS England in conjunction with Public Health England and the Department of Health </w:t>
      </w:r>
      <w:proofErr w:type="gramStart"/>
      <w:r w:rsidRPr="00957699">
        <w:rPr>
          <w:rFonts w:ascii="Arial" w:hAnsi="Arial" w:cs="Arial"/>
          <w:sz w:val="20"/>
          <w:szCs w:val="20"/>
        </w:rPr>
        <w:t>have</w:t>
      </w:r>
      <w:proofErr w:type="gramEnd"/>
      <w:r w:rsidRPr="00957699">
        <w:rPr>
          <w:rFonts w:ascii="Arial" w:hAnsi="Arial" w:cs="Arial"/>
          <w:sz w:val="20"/>
          <w:szCs w:val="20"/>
        </w:rPr>
        <w:t xml:space="preserve"> just published the Flu Plan, Winter 2014/15.  This is available at:</w:t>
      </w:r>
    </w:p>
    <w:p w:rsidR="00564694" w:rsidRPr="00321AA2" w:rsidRDefault="00CE7364" w:rsidP="00926AE8">
      <w:pPr>
        <w:rPr>
          <w:rFonts w:ascii="Arial" w:hAnsi="Arial" w:cs="Arial"/>
          <w:color w:val="00B0F0"/>
          <w:sz w:val="20"/>
          <w:szCs w:val="20"/>
        </w:rPr>
      </w:pPr>
      <w:hyperlink r:id="rId11" w:history="1">
        <w:r w:rsidR="00321AA2" w:rsidRPr="00B80C46">
          <w:rPr>
            <w:rStyle w:val="Hyperlink"/>
            <w:rFonts w:ascii="Arial" w:hAnsi="Arial" w:cs="Arial"/>
            <w:sz w:val="20"/>
            <w:szCs w:val="20"/>
          </w:rPr>
          <w:t>https://www.gov.uk/government/uploads/system/uploads/attachment_data/file/306638/FluPlan2014_accessible.pdf</w:t>
        </w:r>
      </w:hyperlink>
      <w:r w:rsidR="00321AA2" w:rsidRPr="00321AA2">
        <w:rPr>
          <w:rStyle w:val="Hyperlink"/>
          <w:rFonts w:ascii="Arial" w:hAnsi="Arial" w:cs="Arial"/>
          <w:color w:val="00B0F0"/>
          <w:sz w:val="20"/>
          <w:szCs w:val="20"/>
        </w:rPr>
        <w:t xml:space="preserve"> </w:t>
      </w:r>
    </w:p>
    <w:p w:rsidR="00564694" w:rsidRDefault="00564694" w:rsidP="00926AE8">
      <w:pPr>
        <w:rPr>
          <w:rFonts w:ascii="Arial" w:hAnsi="Arial" w:cs="Arial"/>
          <w:sz w:val="20"/>
          <w:szCs w:val="20"/>
        </w:rPr>
      </w:pPr>
    </w:p>
    <w:p w:rsidR="00564694" w:rsidRPr="00957699" w:rsidRDefault="00564694" w:rsidP="00926AE8">
      <w:pPr>
        <w:rPr>
          <w:rFonts w:ascii="Arial" w:hAnsi="Arial" w:cs="Arial"/>
          <w:sz w:val="20"/>
          <w:szCs w:val="20"/>
        </w:rPr>
      </w:pPr>
      <w:r w:rsidRPr="00957699">
        <w:rPr>
          <w:rFonts w:ascii="Arial" w:hAnsi="Arial" w:cs="Arial"/>
          <w:sz w:val="20"/>
          <w:szCs w:val="20"/>
        </w:rPr>
        <w:t>The national flu uptake figures for the past three years are:</w:t>
      </w:r>
    </w:p>
    <w:p w:rsidR="00564694" w:rsidRPr="00957699" w:rsidRDefault="00564694" w:rsidP="00926AE8">
      <w:pPr>
        <w:rPr>
          <w:rFonts w:ascii="Arial" w:hAnsi="Arial" w:cs="Arial"/>
          <w:sz w:val="20"/>
          <w:szCs w:val="20"/>
        </w:rPr>
      </w:pPr>
    </w:p>
    <w:tbl>
      <w:tblPr>
        <w:tblW w:w="9643" w:type="dxa"/>
        <w:tblInd w:w="108" w:type="dxa"/>
        <w:tblBorders>
          <w:top w:val="nil"/>
          <w:left w:val="nil"/>
          <w:bottom w:val="nil"/>
          <w:right w:val="nil"/>
        </w:tblBorders>
        <w:tblLayout w:type="fixed"/>
        <w:tblLook w:val="0000" w:firstRow="0" w:lastRow="0" w:firstColumn="0" w:lastColumn="0" w:noHBand="0" w:noVBand="0"/>
      </w:tblPr>
      <w:tblGrid>
        <w:gridCol w:w="3969"/>
        <w:gridCol w:w="1985"/>
        <w:gridCol w:w="1843"/>
        <w:gridCol w:w="1846"/>
      </w:tblGrid>
      <w:tr w:rsidR="00470EEF" w:rsidRPr="00957699" w:rsidTr="00926AE8">
        <w:trPr>
          <w:trHeight w:val="283"/>
        </w:trPr>
        <w:tc>
          <w:tcPr>
            <w:tcW w:w="3969" w:type="dxa"/>
            <w:tcBorders>
              <w:top w:val="single" w:sz="6" w:space="0" w:color="000000"/>
              <w:left w:val="single" w:sz="4" w:space="0" w:color="000000"/>
              <w:bottom w:val="single" w:sz="6" w:space="0" w:color="000000"/>
              <w:right w:val="single" w:sz="4" w:space="0" w:color="000000"/>
            </w:tcBorders>
            <w:shd w:val="clear" w:color="auto" w:fill="BEBEBE"/>
            <w:vAlign w:val="center"/>
          </w:tcPr>
          <w:p w:rsidR="00470EEF" w:rsidRPr="00957699" w:rsidRDefault="00470EEF" w:rsidP="00926AE8">
            <w:pPr>
              <w:pStyle w:val="Default"/>
              <w:jc w:val="center"/>
              <w:rPr>
                <w:rFonts w:ascii="Arial" w:hAnsi="Arial" w:cs="Arial"/>
                <w:sz w:val="20"/>
                <w:szCs w:val="20"/>
              </w:rPr>
            </w:pPr>
          </w:p>
        </w:tc>
        <w:tc>
          <w:tcPr>
            <w:tcW w:w="1985" w:type="dxa"/>
            <w:tcBorders>
              <w:top w:val="single" w:sz="6" w:space="0" w:color="000000"/>
              <w:left w:val="single" w:sz="4" w:space="0" w:color="000000"/>
              <w:bottom w:val="single" w:sz="6" w:space="0" w:color="000000"/>
              <w:right w:val="single" w:sz="4" w:space="0" w:color="000000"/>
            </w:tcBorders>
            <w:shd w:val="clear" w:color="auto" w:fill="BEBEBE"/>
            <w:vAlign w:val="center"/>
          </w:tcPr>
          <w:p w:rsidR="00470EEF" w:rsidRPr="00957699" w:rsidRDefault="00470EEF" w:rsidP="00926AE8">
            <w:pPr>
              <w:pStyle w:val="Default"/>
              <w:jc w:val="center"/>
              <w:rPr>
                <w:rFonts w:ascii="Arial" w:hAnsi="Arial" w:cs="Arial"/>
                <w:sz w:val="20"/>
                <w:szCs w:val="20"/>
              </w:rPr>
            </w:pPr>
            <w:r w:rsidRPr="00957699">
              <w:rPr>
                <w:rFonts w:ascii="Arial" w:hAnsi="Arial" w:cs="Arial"/>
                <w:b/>
                <w:bCs/>
                <w:sz w:val="20"/>
                <w:szCs w:val="20"/>
              </w:rPr>
              <w:t>2013/14 (%)</w:t>
            </w:r>
          </w:p>
        </w:tc>
        <w:tc>
          <w:tcPr>
            <w:tcW w:w="1843" w:type="dxa"/>
            <w:tcBorders>
              <w:top w:val="single" w:sz="6" w:space="0" w:color="000000"/>
              <w:left w:val="single" w:sz="4" w:space="0" w:color="000000"/>
              <w:bottom w:val="single" w:sz="6" w:space="0" w:color="000000"/>
              <w:right w:val="single" w:sz="4" w:space="0" w:color="000000"/>
            </w:tcBorders>
            <w:shd w:val="clear" w:color="auto" w:fill="BEBEBE"/>
            <w:vAlign w:val="center"/>
          </w:tcPr>
          <w:p w:rsidR="00470EEF" w:rsidRPr="00957699" w:rsidRDefault="00470EEF" w:rsidP="00926AE8">
            <w:pPr>
              <w:pStyle w:val="Default"/>
              <w:jc w:val="center"/>
              <w:rPr>
                <w:rFonts w:ascii="Arial" w:hAnsi="Arial" w:cs="Arial"/>
                <w:sz w:val="20"/>
                <w:szCs w:val="20"/>
              </w:rPr>
            </w:pPr>
            <w:r w:rsidRPr="00957699">
              <w:rPr>
                <w:rFonts w:ascii="Arial" w:hAnsi="Arial" w:cs="Arial"/>
                <w:sz w:val="20"/>
                <w:szCs w:val="20"/>
              </w:rPr>
              <w:t xml:space="preserve">2012/13 (%) </w:t>
            </w:r>
          </w:p>
        </w:tc>
        <w:tc>
          <w:tcPr>
            <w:tcW w:w="1846" w:type="dxa"/>
            <w:tcBorders>
              <w:top w:val="single" w:sz="6" w:space="0" w:color="000000"/>
              <w:left w:val="single" w:sz="4" w:space="0" w:color="000000"/>
              <w:bottom w:val="single" w:sz="6" w:space="0" w:color="000000"/>
              <w:right w:val="single" w:sz="4" w:space="0" w:color="000000"/>
            </w:tcBorders>
            <w:shd w:val="clear" w:color="auto" w:fill="BEBEBE"/>
            <w:vAlign w:val="center"/>
          </w:tcPr>
          <w:p w:rsidR="00470EEF" w:rsidRPr="00957699" w:rsidRDefault="00470EEF" w:rsidP="00926AE8">
            <w:pPr>
              <w:pStyle w:val="Default"/>
              <w:jc w:val="center"/>
              <w:rPr>
                <w:rFonts w:ascii="Arial" w:hAnsi="Arial" w:cs="Arial"/>
                <w:sz w:val="20"/>
                <w:szCs w:val="20"/>
              </w:rPr>
            </w:pPr>
            <w:r w:rsidRPr="00957699">
              <w:rPr>
                <w:rFonts w:ascii="Arial" w:hAnsi="Arial" w:cs="Arial"/>
                <w:sz w:val="20"/>
                <w:szCs w:val="20"/>
              </w:rPr>
              <w:t xml:space="preserve">2011/12 (%) </w:t>
            </w:r>
          </w:p>
        </w:tc>
      </w:tr>
      <w:tr w:rsidR="00470EEF" w:rsidRPr="00957699" w:rsidTr="00926AE8">
        <w:trPr>
          <w:trHeight w:val="252"/>
        </w:trPr>
        <w:tc>
          <w:tcPr>
            <w:tcW w:w="3969"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rPr>
                <w:rFonts w:ascii="Arial" w:hAnsi="Arial" w:cs="Arial"/>
                <w:sz w:val="20"/>
                <w:szCs w:val="20"/>
              </w:rPr>
            </w:pPr>
            <w:r w:rsidRPr="00957699">
              <w:rPr>
                <w:rFonts w:ascii="Arial" w:hAnsi="Arial" w:cs="Arial"/>
                <w:sz w:val="20"/>
                <w:szCs w:val="20"/>
              </w:rPr>
              <w:t xml:space="preserve">Patients aged 65 years or older </w:t>
            </w:r>
          </w:p>
        </w:tc>
        <w:tc>
          <w:tcPr>
            <w:tcW w:w="1985"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jc w:val="center"/>
              <w:rPr>
                <w:rFonts w:ascii="Arial" w:hAnsi="Arial" w:cs="Arial"/>
                <w:sz w:val="20"/>
                <w:szCs w:val="20"/>
              </w:rPr>
            </w:pPr>
            <w:r w:rsidRPr="00957699">
              <w:rPr>
                <w:rFonts w:ascii="Arial" w:hAnsi="Arial" w:cs="Arial"/>
                <w:b/>
                <w:bCs/>
                <w:sz w:val="20"/>
                <w:szCs w:val="20"/>
              </w:rPr>
              <w:t xml:space="preserve">73.2 </w:t>
            </w:r>
          </w:p>
        </w:tc>
        <w:tc>
          <w:tcPr>
            <w:tcW w:w="1843"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jc w:val="center"/>
              <w:rPr>
                <w:rFonts w:ascii="Arial" w:hAnsi="Arial" w:cs="Arial"/>
                <w:sz w:val="20"/>
                <w:szCs w:val="20"/>
              </w:rPr>
            </w:pPr>
            <w:r w:rsidRPr="00957699">
              <w:rPr>
                <w:rFonts w:ascii="Arial" w:hAnsi="Arial" w:cs="Arial"/>
                <w:sz w:val="20"/>
                <w:szCs w:val="20"/>
              </w:rPr>
              <w:t xml:space="preserve">73.4 </w:t>
            </w:r>
          </w:p>
        </w:tc>
        <w:tc>
          <w:tcPr>
            <w:tcW w:w="1846"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jc w:val="center"/>
              <w:rPr>
                <w:rFonts w:ascii="Arial" w:hAnsi="Arial" w:cs="Arial"/>
                <w:sz w:val="20"/>
                <w:szCs w:val="20"/>
              </w:rPr>
            </w:pPr>
            <w:r w:rsidRPr="00957699">
              <w:rPr>
                <w:rFonts w:ascii="Arial" w:hAnsi="Arial" w:cs="Arial"/>
                <w:sz w:val="20"/>
                <w:szCs w:val="20"/>
              </w:rPr>
              <w:t xml:space="preserve">74.0 </w:t>
            </w:r>
          </w:p>
        </w:tc>
      </w:tr>
      <w:tr w:rsidR="00470EEF" w:rsidRPr="00957699" w:rsidTr="00926AE8">
        <w:trPr>
          <w:trHeight w:val="631"/>
        </w:trPr>
        <w:tc>
          <w:tcPr>
            <w:tcW w:w="3969"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rPr>
                <w:rFonts w:ascii="Arial" w:hAnsi="Arial" w:cs="Arial"/>
                <w:sz w:val="20"/>
                <w:szCs w:val="20"/>
              </w:rPr>
            </w:pPr>
            <w:r w:rsidRPr="00957699">
              <w:rPr>
                <w:rFonts w:ascii="Arial" w:hAnsi="Arial" w:cs="Arial"/>
                <w:sz w:val="20"/>
                <w:szCs w:val="20"/>
              </w:rPr>
              <w:t xml:space="preserve">Patients aged six months to under 65 years in risk groups (excluding pregnant women without other risk factors) </w:t>
            </w:r>
          </w:p>
        </w:tc>
        <w:tc>
          <w:tcPr>
            <w:tcW w:w="1985"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jc w:val="center"/>
              <w:rPr>
                <w:rFonts w:ascii="Arial" w:hAnsi="Arial" w:cs="Arial"/>
                <w:sz w:val="20"/>
                <w:szCs w:val="20"/>
              </w:rPr>
            </w:pPr>
            <w:r w:rsidRPr="00957699">
              <w:rPr>
                <w:rFonts w:ascii="Arial" w:hAnsi="Arial" w:cs="Arial"/>
                <w:b/>
                <w:bCs/>
                <w:sz w:val="20"/>
                <w:szCs w:val="20"/>
              </w:rPr>
              <w:t xml:space="preserve">52.3 </w:t>
            </w:r>
          </w:p>
        </w:tc>
        <w:tc>
          <w:tcPr>
            <w:tcW w:w="1843"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jc w:val="center"/>
              <w:rPr>
                <w:rFonts w:ascii="Arial" w:hAnsi="Arial" w:cs="Arial"/>
                <w:sz w:val="20"/>
                <w:szCs w:val="20"/>
              </w:rPr>
            </w:pPr>
            <w:r w:rsidRPr="00957699">
              <w:rPr>
                <w:rFonts w:ascii="Arial" w:hAnsi="Arial" w:cs="Arial"/>
                <w:sz w:val="20"/>
                <w:szCs w:val="20"/>
              </w:rPr>
              <w:t xml:space="preserve">51.3 </w:t>
            </w:r>
          </w:p>
        </w:tc>
        <w:tc>
          <w:tcPr>
            <w:tcW w:w="1846"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jc w:val="center"/>
              <w:rPr>
                <w:rFonts w:ascii="Arial" w:hAnsi="Arial" w:cs="Arial"/>
                <w:sz w:val="20"/>
                <w:szCs w:val="20"/>
              </w:rPr>
            </w:pPr>
            <w:r w:rsidRPr="00957699">
              <w:rPr>
                <w:rFonts w:ascii="Arial" w:hAnsi="Arial" w:cs="Arial"/>
                <w:sz w:val="20"/>
                <w:szCs w:val="20"/>
              </w:rPr>
              <w:t xml:space="preserve">51.6 </w:t>
            </w:r>
          </w:p>
        </w:tc>
      </w:tr>
      <w:tr w:rsidR="00470EEF" w:rsidRPr="00957699" w:rsidTr="00926AE8">
        <w:trPr>
          <w:trHeight w:val="297"/>
        </w:trPr>
        <w:tc>
          <w:tcPr>
            <w:tcW w:w="3969"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rPr>
                <w:rFonts w:ascii="Arial" w:hAnsi="Arial" w:cs="Arial"/>
                <w:sz w:val="20"/>
                <w:szCs w:val="20"/>
              </w:rPr>
            </w:pPr>
            <w:r w:rsidRPr="00957699">
              <w:rPr>
                <w:rFonts w:ascii="Arial" w:hAnsi="Arial" w:cs="Arial"/>
                <w:sz w:val="20"/>
                <w:szCs w:val="20"/>
              </w:rPr>
              <w:t xml:space="preserve">Pregnant women </w:t>
            </w:r>
          </w:p>
        </w:tc>
        <w:tc>
          <w:tcPr>
            <w:tcW w:w="1985"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jc w:val="center"/>
              <w:rPr>
                <w:rFonts w:ascii="Arial" w:hAnsi="Arial" w:cs="Arial"/>
                <w:sz w:val="20"/>
                <w:szCs w:val="20"/>
              </w:rPr>
            </w:pPr>
            <w:r w:rsidRPr="00957699">
              <w:rPr>
                <w:rFonts w:ascii="Arial" w:hAnsi="Arial" w:cs="Arial"/>
                <w:b/>
                <w:bCs/>
                <w:sz w:val="20"/>
                <w:szCs w:val="20"/>
              </w:rPr>
              <w:t xml:space="preserve">39.8 </w:t>
            </w:r>
          </w:p>
        </w:tc>
        <w:tc>
          <w:tcPr>
            <w:tcW w:w="1843"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jc w:val="center"/>
              <w:rPr>
                <w:rFonts w:ascii="Arial" w:hAnsi="Arial" w:cs="Arial"/>
                <w:sz w:val="20"/>
                <w:szCs w:val="20"/>
              </w:rPr>
            </w:pPr>
            <w:r w:rsidRPr="00957699">
              <w:rPr>
                <w:rFonts w:ascii="Arial" w:hAnsi="Arial" w:cs="Arial"/>
                <w:sz w:val="20"/>
                <w:szCs w:val="20"/>
              </w:rPr>
              <w:t xml:space="preserve">40.3 </w:t>
            </w:r>
          </w:p>
        </w:tc>
        <w:tc>
          <w:tcPr>
            <w:tcW w:w="1846"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jc w:val="center"/>
              <w:rPr>
                <w:rFonts w:ascii="Arial" w:hAnsi="Arial" w:cs="Arial"/>
                <w:sz w:val="20"/>
                <w:szCs w:val="20"/>
              </w:rPr>
            </w:pPr>
            <w:r w:rsidRPr="00957699">
              <w:rPr>
                <w:rFonts w:ascii="Arial" w:hAnsi="Arial" w:cs="Arial"/>
                <w:sz w:val="20"/>
                <w:szCs w:val="20"/>
              </w:rPr>
              <w:t xml:space="preserve">27.4 </w:t>
            </w:r>
          </w:p>
        </w:tc>
      </w:tr>
      <w:tr w:rsidR="00470EEF" w:rsidRPr="00957699" w:rsidTr="00926AE8">
        <w:trPr>
          <w:trHeight w:val="297"/>
        </w:trPr>
        <w:tc>
          <w:tcPr>
            <w:tcW w:w="3969"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rPr>
                <w:rFonts w:ascii="Arial" w:hAnsi="Arial" w:cs="Arial"/>
                <w:sz w:val="20"/>
                <w:szCs w:val="20"/>
              </w:rPr>
            </w:pPr>
            <w:r w:rsidRPr="00957699">
              <w:rPr>
                <w:rFonts w:ascii="Arial" w:hAnsi="Arial" w:cs="Arial"/>
                <w:sz w:val="20"/>
                <w:szCs w:val="20"/>
              </w:rPr>
              <w:t xml:space="preserve">Health care workers </w:t>
            </w:r>
          </w:p>
        </w:tc>
        <w:tc>
          <w:tcPr>
            <w:tcW w:w="1985"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jc w:val="center"/>
              <w:rPr>
                <w:rFonts w:ascii="Arial" w:hAnsi="Arial" w:cs="Arial"/>
                <w:sz w:val="20"/>
                <w:szCs w:val="20"/>
              </w:rPr>
            </w:pPr>
            <w:r w:rsidRPr="00957699">
              <w:rPr>
                <w:rFonts w:ascii="Arial" w:hAnsi="Arial" w:cs="Arial"/>
                <w:b/>
                <w:bCs/>
                <w:sz w:val="20"/>
                <w:szCs w:val="20"/>
              </w:rPr>
              <w:t xml:space="preserve">54.8 </w:t>
            </w:r>
          </w:p>
        </w:tc>
        <w:tc>
          <w:tcPr>
            <w:tcW w:w="1843"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jc w:val="center"/>
              <w:rPr>
                <w:rFonts w:ascii="Arial" w:hAnsi="Arial" w:cs="Arial"/>
                <w:sz w:val="20"/>
                <w:szCs w:val="20"/>
              </w:rPr>
            </w:pPr>
            <w:r w:rsidRPr="00957699">
              <w:rPr>
                <w:rFonts w:ascii="Arial" w:hAnsi="Arial" w:cs="Arial"/>
                <w:sz w:val="20"/>
                <w:szCs w:val="20"/>
              </w:rPr>
              <w:t xml:space="preserve">45.6 </w:t>
            </w:r>
          </w:p>
        </w:tc>
        <w:tc>
          <w:tcPr>
            <w:tcW w:w="1846"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jc w:val="center"/>
              <w:rPr>
                <w:rFonts w:ascii="Arial" w:hAnsi="Arial" w:cs="Arial"/>
                <w:sz w:val="20"/>
                <w:szCs w:val="20"/>
              </w:rPr>
            </w:pPr>
            <w:r w:rsidRPr="00957699">
              <w:rPr>
                <w:rFonts w:ascii="Arial" w:hAnsi="Arial" w:cs="Arial"/>
                <w:sz w:val="20"/>
                <w:szCs w:val="20"/>
              </w:rPr>
              <w:t xml:space="preserve">44.6 </w:t>
            </w:r>
          </w:p>
        </w:tc>
      </w:tr>
      <w:tr w:rsidR="00470EEF" w:rsidRPr="00957699" w:rsidTr="00926AE8">
        <w:trPr>
          <w:trHeight w:val="295"/>
        </w:trPr>
        <w:tc>
          <w:tcPr>
            <w:tcW w:w="3969"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rPr>
                <w:rFonts w:ascii="Arial" w:hAnsi="Arial" w:cs="Arial"/>
                <w:sz w:val="20"/>
                <w:szCs w:val="20"/>
              </w:rPr>
            </w:pPr>
            <w:r w:rsidRPr="00957699">
              <w:rPr>
                <w:rFonts w:ascii="Arial" w:hAnsi="Arial" w:cs="Arial"/>
                <w:sz w:val="20"/>
                <w:szCs w:val="20"/>
              </w:rPr>
              <w:t xml:space="preserve">Carers </w:t>
            </w:r>
          </w:p>
        </w:tc>
        <w:tc>
          <w:tcPr>
            <w:tcW w:w="1985"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jc w:val="center"/>
              <w:rPr>
                <w:rFonts w:ascii="Arial" w:hAnsi="Arial" w:cs="Arial"/>
                <w:sz w:val="20"/>
                <w:szCs w:val="20"/>
              </w:rPr>
            </w:pPr>
            <w:r w:rsidRPr="00957699">
              <w:rPr>
                <w:rFonts w:ascii="Arial" w:hAnsi="Arial" w:cs="Arial"/>
                <w:b/>
                <w:bCs/>
                <w:sz w:val="20"/>
                <w:szCs w:val="20"/>
              </w:rPr>
              <w:t xml:space="preserve">44.8 </w:t>
            </w:r>
          </w:p>
        </w:tc>
        <w:tc>
          <w:tcPr>
            <w:tcW w:w="1843"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jc w:val="center"/>
              <w:rPr>
                <w:rFonts w:ascii="Arial" w:hAnsi="Arial" w:cs="Arial"/>
                <w:sz w:val="20"/>
                <w:szCs w:val="20"/>
              </w:rPr>
            </w:pPr>
            <w:r w:rsidRPr="00957699">
              <w:rPr>
                <w:rFonts w:ascii="Arial" w:hAnsi="Arial" w:cs="Arial"/>
                <w:sz w:val="20"/>
                <w:szCs w:val="20"/>
              </w:rPr>
              <w:t xml:space="preserve">46.3 </w:t>
            </w:r>
          </w:p>
        </w:tc>
        <w:tc>
          <w:tcPr>
            <w:tcW w:w="1846"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jc w:val="center"/>
              <w:rPr>
                <w:rFonts w:ascii="Arial" w:hAnsi="Arial" w:cs="Arial"/>
                <w:sz w:val="20"/>
                <w:szCs w:val="20"/>
              </w:rPr>
            </w:pPr>
            <w:r w:rsidRPr="00957699">
              <w:rPr>
                <w:rFonts w:ascii="Arial" w:hAnsi="Arial" w:cs="Arial"/>
                <w:sz w:val="20"/>
                <w:szCs w:val="20"/>
              </w:rPr>
              <w:t xml:space="preserve">45.2 </w:t>
            </w:r>
          </w:p>
        </w:tc>
      </w:tr>
      <w:tr w:rsidR="00470EEF" w:rsidRPr="00957699" w:rsidTr="00926AE8">
        <w:trPr>
          <w:trHeight w:val="378"/>
        </w:trPr>
        <w:tc>
          <w:tcPr>
            <w:tcW w:w="3969"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rPr>
                <w:rFonts w:ascii="Arial" w:hAnsi="Arial" w:cs="Arial"/>
                <w:sz w:val="20"/>
                <w:szCs w:val="20"/>
              </w:rPr>
            </w:pPr>
            <w:r w:rsidRPr="00957699">
              <w:rPr>
                <w:rFonts w:ascii="Arial" w:hAnsi="Arial" w:cs="Arial"/>
                <w:sz w:val="20"/>
                <w:szCs w:val="20"/>
              </w:rPr>
              <w:t xml:space="preserve">Patients aged two years old (including those in risk groups) </w:t>
            </w:r>
          </w:p>
        </w:tc>
        <w:tc>
          <w:tcPr>
            <w:tcW w:w="1985" w:type="dxa"/>
            <w:tcBorders>
              <w:top w:val="single" w:sz="6" w:space="0" w:color="000000"/>
              <w:left w:val="single" w:sz="4" w:space="0" w:color="000000"/>
              <w:bottom w:val="single" w:sz="6" w:space="0" w:color="000000"/>
              <w:right w:val="single" w:sz="4" w:space="0" w:color="000000"/>
            </w:tcBorders>
          </w:tcPr>
          <w:p w:rsidR="00470EEF" w:rsidRPr="00957699" w:rsidRDefault="00470EEF" w:rsidP="00926AE8">
            <w:pPr>
              <w:pStyle w:val="Default"/>
              <w:jc w:val="center"/>
              <w:rPr>
                <w:rFonts w:ascii="Arial" w:hAnsi="Arial" w:cs="Arial"/>
                <w:sz w:val="20"/>
                <w:szCs w:val="20"/>
              </w:rPr>
            </w:pPr>
            <w:r w:rsidRPr="00957699">
              <w:rPr>
                <w:rFonts w:ascii="Arial" w:hAnsi="Arial" w:cs="Arial"/>
                <w:b/>
                <w:bCs/>
                <w:sz w:val="20"/>
                <w:szCs w:val="20"/>
              </w:rPr>
              <w:t xml:space="preserve">42.6 </w:t>
            </w:r>
          </w:p>
        </w:tc>
        <w:tc>
          <w:tcPr>
            <w:tcW w:w="1843"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jc w:val="center"/>
              <w:rPr>
                <w:rFonts w:ascii="Arial" w:hAnsi="Arial" w:cs="Arial"/>
                <w:sz w:val="20"/>
                <w:szCs w:val="20"/>
              </w:rPr>
            </w:pPr>
            <w:r w:rsidRPr="00957699">
              <w:rPr>
                <w:rFonts w:ascii="Arial" w:hAnsi="Arial" w:cs="Arial"/>
                <w:sz w:val="20"/>
                <w:szCs w:val="20"/>
              </w:rPr>
              <w:t xml:space="preserve">N/A </w:t>
            </w:r>
          </w:p>
        </w:tc>
        <w:tc>
          <w:tcPr>
            <w:tcW w:w="1846"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jc w:val="center"/>
              <w:rPr>
                <w:rFonts w:ascii="Arial" w:hAnsi="Arial" w:cs="Arial"/>
                <w:sz w:val="20"/>
                <w:szCs w:val="20"/>
              </w:rPr>
            </w:pPr>
            <w:r w:rsidRPr="00957699">
              <w:rPr>
                <w:rFonts w:ascii="Arial" w:hAnsi="Arial" w:cs="Arial"/>
                <w:sz w:val="20"/>
                <w:szCs w:val="20"/>
              </w:rPr>
              <w:t xml:space="preserve">N/A </w:t>
            </w:r>
          </w:p>
        </w:tc>
      </w:tr>
      <w:tr w:rsidR="00470EEF" w:rsidRPr="00957699" w:rsidTr="00926AE8">
        <w:trPr>
          <w:trHeight w:val="376"/>
        </w:trPr>
        <w:tc>
          <w:tcPr>
            <w:tcW w:w="3969"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rPr>
                <w:rFonts w:ascii="Arial" w:hAnsi="Arial" w:cs="Arial"/>
                <w:sz w:val="20"/>
                <w:szCs w:val="20"/>
              </w:rPr>
            </w:pPr>
            <w:r w:rsidRPr="00957699">
              <w:rPr>
                <w:rFonts w:ascii="Arial" w:hAnsi="Arial" w:cs="Arial"/>
                <w:sz w:val="20"/>
                <w:szCs w:val="20"/>
              </w:rPr>
              <w:t xml:space="preserve">Patients aged three years old (including those in risk groups) </w:t>
            </w:r>
          </w:p>
        </w:tc>
        <w:tc>
          <w:tcPr>
            <w:tcW w:w="1985" w:type="dxa"/>
            <w:tcBorders>
              <w:top w:val="single" w:sz="6" w:space="0" w:color="000000"/>
              <w:left w:val="single" w:sz="4" w:space="0" w:color="000000"/>
              <w:bottom w:val="single" w:sz="6" w:space="0" w:color="000000"/>
              <w:right w:val="single" w:sz="4" w:space="0" w:color="000000"/>
            </w:tcBorders>
          </w:tcPr>
          <w:p w:rsidR="00470EEF" w:rsidRPr="00957699" w:rsidRDefault="00470EEF" w:rsidP="00926AE8">
            <w:pPr>
              <w:pStyle w:val="Default"/>
              <w:jc w:val="center"/>
              <w:rPr>
                <w:rFonts w:ascii="Arial" w:hAnsi="Arial" w:cs="Arial"/>
                <w:sz w:val="20"/>
                <w:szCs w:val="20"/>
              </w:rPr>
            </w:pPr>
            <w:r w:rsidRPr="00957699">
              <w:rPr>
                <w:rFonts w:ascii="Arial" w:hAnsi="Arial" w:cs="Arial"/>
                <w:b/>
                <w:bCs/>
                <w:sz w:val="20"/>
                <w:szCs w:val="20"/>
              </w:rPr>
              <w:t xml:space="preserve">39.6 </w:t>
            </w:r>
          </w:p>
        </w:tc>
        <w:tc>
          <w:tcPr>
            <w:tcW w:w="1843"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jc w:val="center"/>
              <w:rPr>
                <w:rFonts w:ascii="Arial" w:hAnsi="Arial" w:cs="Arial"/>
                <w:sz w:val="20"/>
                <w:szCs w:val="20"/>
              </w:rPr>
            </w:pPr>
            <w:r w:rsidRPr="00957699">
              <w:rPr>
                <w:rFonts w:ascii="Arial" w:hAnsi="Arial" w:cs="Arial"/>
                <w:sz w:val="20"/>
                <w:szCs w:val="20"/>
              </w:rPr>
              <w:t xml:space="preserve">N/A </w:t>
            </w:r>
          </w:p>
        </w:tc>
        <w:tc>
          <w:tcPr>
            <w:tcW w:w="1846" w:type="dxa"/>
            <w:tcBorders>
              <w:top w:val="single" w:sz="6" w:space="0" w:color="000000"/>
              <w:left w:val="single" w:sz="4" w:space="0" w:color="000000"/>
              <w:bottom w:val="single" w:sz="6" w:space="0" w:color="000000"/>
              <w:right w:val="single" w:sz="4" w:space="0" w:color="000000"/>
            </w:tcBorders>
            <w:vAlign w:val="center"/>
          </w:tcPr>
          <w:p w:rsidR="00470EEF" w:rsidRPr="00957699" w:rsidRDefault="00470EEF" w:rsidP="00926AE8">
            <w:pPr>
              <w:pStyle w:val="Default"/>
              <w:jc w:val="center"/>
              <w:rPr>
                <w:rFonts w:ascii="Arial" w:hAnsi="Arial" w:cs="Arial"/>
                <w:sz w:val="20"/>
                <w:szCs w:val="20"/>
              </w:rPr>
            </w:pPr>
            <w:r w:rsidRPr="00957699">
              <w:rPr>
                <w:rFonts w:ascii="Arial" w:hAnsi="Arial" w:cs="Arial"/>
                <w:sz w:val="20"/>
                <w:szCs w:val="20"/>
              </w:rPr>
              <w:t xml:space="preserve">N/A </w:t>
            </w:r>
          </w:p>
        </w:tc>
      </w:tr>
    </w:tbl>
    <w:p w:rsidR="00564694" w:rsidRPr="00957699" w:rsidRDefault="00564694" w:rsidP="00926AE8">
      <w:pPr>
        <w:rPr>
          <w:rFonts w:ascii="Arial" w:hAnsi="Arial" w:cs="Arial"/>
          <w:sz w:val="20"/>
          <w:szCs w:val="20"/>
        </w:rPr>
      </w:pPr>
    </w:p>
    <w:p w:rsidR="00564694" w:rsidRPr="00957699" w:rsidRDefault="00564694" w:rsidP="00926AE8">
      <w:pPr>
        <w:jc w:val="both"/>
        <w:rPr>
          <w:rFonts w:ascii="Arial" w:hAnsi="Arial" w:cs="Arial"/>
          <w:sz w:val="20"/>
          <w:szCs w:val="20"/>
        </w:rPr>
      </w:pPr>
      <w:r w:rsidRPr="00957699">
        <w:rPr>
          <w:rFonts w:ascii="Arial" w:hAnsi="Arial" w:cs="Arial"/>
          <w:sz w:val="20"/>
          <w:szCs w:val="20"/>
        </w:rPr>
        <w:t>Breaking this down further, the annual outcome for over 75s has been very close to the European Union target of 75%, which is a real achievement given the increasing absolute numbers of this population</w:t>
      </w:r>
      <w:r w:rsidR="00FC5B81" w:rsidRPr="00957699">
        <w:rPr>
          <w:rFonts w:ascii="Arial" w:hAnsi="Arial" w:cs="Arial"/>
          <w:sz w:val="20"/>
          <w:szCs w:val="20"/>
        </w:rPr>
        <w:t xml:space="preserve"> cohort</w:t>
      </w:r>
      <w:r w:rsidRPr="00957699">
        <w:rPr>
          <w:rFonts w:ascii="Arial" w:hAnsi="Arial" w:cs="Arial"/>
          <w:sz w:val="20"/>
          <w:szCs w:val="20"/>
        </w:rPr>
        <w:t>.</w:t>
      </w:r>
    </w:p>
    <w:p w:rsidR="00564694" w:rsidRPr="00957699" w:rsidRDefault="00564694" w:rsidP="00926AE8">
      <w:pPr>
        <w:jc w:val="both"/>
        <w:rPr>
          <w:rFonts w:ascii="Arial" w:hAnsi="Arial" w:cs="Arial"/>
          <w:sz w:val="20"/>
          <w:szCs w:val="20"/>
        </w:rPr>
      </w:pPr>
    </w:p>
    <w:p w:rsidR="00564694" w:rsidRPr="00957699" w:rsidRDefault="00564694" w:rsidP="00926AE8">
      <w:pPr>
        <w:jc w:val="both"/>
        <w:rPr>
          <w:rFonts w:ascii="Arial" w:hAnsi="Arial" w:cs="Arial"/>
          <w:sz w:val="20"/>
          <w:szCs w:val="20"/>
        </w:rPr>
      </w:pPr>
      <w:r w:rsidRPr="00957699">
        <w:rPr>
          <w:rFonts w:ascii="Arial" w:hAnsi="Arial" w:cs="Arial"/>
          <w:sz w:val="20"/>
          <w:szCs w:val="20"/>
        </w:rPr>
        <w:t>Vaccination of clinical ‘at risk’ groups under 65 remains static at around half of eligible patients, although the precise denominator is difficult to establish.  The uptake within at risk groups under 16 is particularly low and hospital and community paediatric and specialist nursing colleagues are being asked to address this as a priority.  It will take time to implement the new childhood routine screening programme</w:t>
      </w:r>
      <w:r w:rsidR="00EA0525" w:rsidRPr="00957699">
        <w:rPr>
          <w:rFonts w:ascii="Arial" w:hAnsi="Arial" w:cs="Arial"/>
          <w:sz w:val="20"/>
          <w:szCs w:val="20"/>
        </w:rPr>
        <w:t>,</w:t>
      </w:r>
      <w:r w:rsidRPr="00957699">
        <w:rPr>
          <w:rFonts w:ascii="Arial" w:hAnsi="Arial" w:cs="Arial"/>
          <w:sz w:val="20"/>
          <w:szCs w:val="20"/>
        </w:rPr>
        <w:t xml:space="preserve"> but this got off to an encouraging start with a 42.6 for two year olds and 39.6% for three year old uptake.</w:t>
      </w:r>
    </w:p>
    <w:p w:rsidR="00564694" w:rsidRPr="00957699" w:rsidRDefault="00564694" w:rsidP="00926AE8">
      <w:pPr>
        <w:jc w:val="both"/>
        <w:rPr>
          <w:rFonts w:ascii="Arial" w:hAnsi="Arial" w:cs="Arial"/>
          <w:sz w:val="20"/>
          <w:szCs w:val="20"/>
        </w:rPr>
      </w:pPr>
    </w:p>
    <w:p w:rsidR="00DC0EE4" w:rsidRPr="00957699" w:rsidRDefault="00564694" w:rsidP="00926AE8">
      <w:pPr>
        <w:jc w:val="both"/>
        <w:rPr>
          <w:rFonts w:ascii="Arial" w:hAnsi="Arial" w:cs="Arial"/>
          <w:sz w:val="20"/>
          <w:szCs w:val="20"/>
        </w:rPr>
      </w:pPr>
      <w:r w:rsidRPr="00957699">
        <w:rPr>
          <w:rFonts w:ascii="Arial" w:hAnsi="Arial" w:cs="Arial"/>
          <w:sz w:val="20"/>
          <w:szCs w:val="20"/>
        </w:rPr>
        <w:lastRenderedPageBreak/>
        <w:t xml:space="preserve">The uptake amongst carers (again with an uncertainty about the dominator) can be best addressed by GPs actively seeking to identify such individuals.  The immunisation </w:t>
      </w:r>
      <w:r w:rsidR="00DC0EE4" w:rsidRPr="00957699">
        <w:rPr>
          <w:rFonts w:ascii="Arial" w:hAnsi="Arial" w:cs="Arial"/>
          <w:sz w:val="20"/>
          <w:szCs w:val="20"/>
        </w:rPr>
        <w:t xml:space="preserve">uptake amongst pregnant women got off to a shaky start </w:t>
      </w:r>
      <w:r w:rsidR="00EA0525" w:rsidRPr="00957699">
        <w:rPr>
          <w:rFonts w:ascii="Arial" w:hAnsi="Arial" w:cs="Arial"/>
          <w:sz w:val="20"/>
          <w:szCs w:val="20"/>
        </w:rPr>
        <w:t>-</w:t>
      </w:r>
      <w:r w:rsidR="00DC0EE4" w:rsidRPr="00957699">
        <w:rPr>
          <w:rFonts w:ascii="Arial" w:hAnsi="Arial" w:cs="Arial"/>
          <w:sz w:val="20"/>
          <w:szCs w:val="20"/>
        </w:rPr>
        <w:t xml:space="preserve"> the emphasis will be a midwifery services promoting and encouraging the programme.</w:t>
      </w:r>
    </w:p>
    <w:p w:rsidR="00DC0EE4" w:rsidRPr="00957699" w:rsidRDefault="00DC0EE4" w:rsidP="00926AE8">
      <w:pPr>
        <w:jc w:val="both"/>
        <w:rPr>
          <w:rFonts w:ascii="Arial" w:hAnsi="Arial" w:cs="Arial"/>
          <w:sz w:val="20"/>
          <w:szCs w:val="20"/>
        </w:rPr>
      </w:pPr>
    </w:p>
    <w:p w:rsidR="00564694" w:rsidRPr="00957699" w:rsidRDefault="00DC0EE4" w:rsidP="00926AE8">
      <w:pPr>
        <w:jc w:val="both"/>
        <w:rPr>
          <w:rFonts w:ascii="Arial" w:hAnsi="Arial" w:cs="Arial"/>
          <w:sz w:val="20"/>
          <w:szCs w:val="20"/>
        </w:rPr>
      </w:pPr>
      <w:r w:rsidRPr="00957699">
        <w:rPr>
          <w:rFonts w:ascii="Arial" w:hAnsi="Arial" w:cs="Arial"/>
          <w:sz w:val="20"/>
          <w:szCs w:val="20"/>
        </w:rPr>
        <w:t>Although the Plan emphasises the importance of proactive and personalised invitations from GPs, there is no personalised invitations from GPs, there is no mention of any additional resources to support this process or of a national campaign.</w:t>
      </w:r>
    </w:p>
    <w:p w:rsidR="00DC0EE4" w:rsidRPr="00957699" w:rsidRDefault="00DC0EE4" w:rsidP="00926AE8">
      <w:pPr>
        <w:jc w:val="both"/>
        <w:rPr>
          <w:rFonts w:ascii="Arial" w:hAnsi="Arial" w:cs="Arial"/>
          <w:sz w:val="20"/>
          <w:szCs w:val="20"/>
        </w:rPr>
      </w:pPr>
    </w:p>
    <w:p w:rsidR="00DC0EE4" w:rsidRPr="00957699" w:rsidRDefault="00DC0EE4" w:rsidP="00926AE8">
      <w:pPr>
        <w:jc w:val="both"/>
        <w:rPr>
          <w:rFonts w:ascii="Arial" w:hAnsi="Arial" w:cs="Arial"/>
          <w:sz w:val="20"/>
          <w:szCs w:val="20"/>
        </w:rPr>
      </w:pPr>
      <w:r w:rsidRPr="00957699">
        <w:rPr>
          <w:rFonts w:ascii="Arial" w:hAnsi="Arial" w:cs="Arial"/>
          <w:sz w:val="20"/>
          <w:szCs w:val="20"/>
        </w:rPr>
        <w:t xml:space="preserve">Unfortunately there has been no increase in the immunisation fee, which remains at £7.64 and has done so </w:t>
      </w:r>
      <w:r w:rsidR="00FC5B81" w:rsidRPr="00957699">
        <w:rPr>
          <w:rFonts w:ascii="Arial" w:hAnsi="Arial" w:cs="Arial"/>
          <w:sz w:val="20"/>
          <w:szCs w:val="20"/>
        </w:rPr>
        <w:t>for many years</w:t>
      </w:r>
      <w:r w:rsidRPr="00957699">
        <w:rPr>
          <w:rFonts w:ascii="Arial" w:hAnsi="Arial" w:cs="Arial"/>
          <w:sz w:val="20"/>
          <w:szCs w:val="20"/>
        </w:rPr>
        <w:t xml:space="preserve">.  </w:t>
      </w:r>
      <w:proofErr w:type="gramStart"/>
      <w:r w:rsidRPr="00957699">
        <w:rPr>
          <w:rFonts w:ascii="Arial" w:hAnsi="Arial" w:cs="Arial"/>
          <w:sz w:val="20"/>
          <w:szCs w:val="20"/>
        </w:rPr>
        <w:t>Applying the Bank of England inflation calculator means that the fee would have been £10.32 in 2012.</w:t>
      </w:r>
      <w:proofErr w:type="gramEnd"/>
      <w:r w:rsidRPr="00957699">
        <w:rPr>
          <w:rFonts w:ascii="Arial" w:hAnsi="Arial" w:cs="Arial"/>
          <w:sz w:val="20"/>
          <w:szCs w:val="20"/>
        </w:rPr>
        <w:t xml:space="preserve">  I have contacted GPC about this issue.</w:t>
      </w:r>
    </w:p>
    <w:p w:rsidR="008D492C" w:rsidRPr="00957699" w:rsidRDefault="008D492C" w:rsidP="00926AE8">
      <w:pPr>
        <w:jc w:val="both"/>
        <w:rPr>
          <w:rFonts w:ascii="Arial" w:hAnsi="Arial" w:cs="Arial"/>
          <w:sz w:val="20"/>
          <w:szCs w:val="20"/>
        </w:rPr>
      </w:pPr>
    </w:p>
    <w:p w:rsidR="008D492C" w:rsidRPr="00957699" w:rsidRDefault="008D492C" w:rsidP="00926AE8">
      <w:pPr>
        <w:jc w:val="both"/>
        <w:rPr>
          <w:rFonts w:ascii="Arial" w:hAnsi="Arial" w:cs="Arial"/>
          <w:sz w:val="20"/>
          <w:szCs w:val="20"/>
        </w:rPr>
      </w:pPr>
      <w:r w:rsidRPr="00957699">
        <w:rPr>
          <w:rFonts w:ascii="Arial" w:hAnsi="Arial" w:cs="Arial"/>
          <w:sz w:val="20"/>
          <w:szCs w:val="20"/>
        </w:rPr>
        <w:t>For interest, I attach the local CCG Immunisation uptake statistics.</w:t>
      </w:r>
    </w:p>
    <w:p w:rsidR="00F0290C" w:rsidRPr="00957699" w:rsidRDefault="00F0290C" w:rsidP="007D0AD8">
      <w:pPr>
        <w:ind w:left="567"/>
        <w:rPr>
          <w:rFonts w:ascii="Arial" w:hAnsi="Arial" w:cs="Arial"/>
          <w:sz w:val="20"/>
          <w:szCs w:val="20"/>
        </w:rPr>
      </w:pPr>
    </w:p>
    <w:p w:rsidR="00F0290C" w:rsidRPr="00957699" w:rsidRDefault="00F0290C" w:rsidP="00926AE8">
      <w:pPr>
        <w:tabs>
          <w:tab w:val="left" w:pos="567"/>
        </w:tabs>
        <w:jc w:val="both"/>
        <w:rPr>
          <w:rFonts w:ascii="Arial" w:hAnsi="Arial" w:cs="Arial"/>
          <w:b/>
          <w:sz w:val="20"/>
          <w:szCs w:val="20"/>
        </w:rPr>
      </w:pPr>
      <w:proofErr w:type="spellStart"/>
      <w:r w:rsidRPr="00957699">
        <w:rPr>
          <w:rFonts w:ascii="Arial" w:hAnsi="Arial" w:cs="Arial"/>
          <w:b/>
          <w:sz w:val="20"/>
          <w:szCs w:val="20"/>
        </w:rPr>
        <w:t>Care.data</w:t>
      </w:r>
      <w:proofErr w:type="spellEnd"/>
    </w:p>
    <w:p w:rsidR="00F0290C" w:rsidRPr="00957699" w:rsidRDefault="00F0290C" w:rsidP="00926AE8">
      <w:pPr>
        <w:jc w:val="both"/>
        <w:rPr>
          <w:rFonts w:ascii="Arial" w:hAnsi="Arial" w:cs="Arial"/>
          <w:sz w:val="20"/>
          <w:szCs w:val="20"/>
        </w:rPr>
      </w:pPr>
      <w:r w:rsidRPr="00957699">
        <w:rPr>
          <w:rFonts w:ascii="Arial" w:hAnsi="Arial" w:cs="Arial"/>
          <w:sz w:val="20"/>
          <w:szCs w:val="20"/>
        </w:rPr>
        <w:t xml:space="preserve">The </w:t>
      </w:r>
      <w:proofErr w:type="spellStart"/>
      <w:r w:rsidRPr="00957699">
        <w:rPr>
          <w:rFonts w:ascii="Arial" w:hAnsi="Arial" w:cs="Arial"/>
          <w:sz w:val="20"/>
          <w:szCs w:val="20"/>
        </w:rPr>
        <w:t>care.data</w:t>
      </w:r>
      <w:proofErr w:type="spellEnd"/>
      <w:r w:rsidRPr="00957699">
        <w:rPr>
          <w:rFonts w:ascii="Arial" w:hAnsi="Arial" w:cs="Arial"/>
          <w:sz w:val="20"/>
          <w:szCs w:val="20"/>
        </w:rPr>
        <w:t xml:space="preserve"> programme has now been paused, and will be subje</w:t>
      </w:r>
      <w:r w:rsidR="00321AA2">
        <w:rPr>
          <w:rFonts w:ascii="Arial" w:hAnsi="Arial" w:cs="Arial"/>
          <w:sz w:val="20"/>
          <w:szCs w:val="20"/>
        </w:rPr>
        <w:t>ct to a review.  The strapline ‘</w:t>
      </w:r>
      <w:r w:rsidRPr="00957699">
        <w:rPr>
          <w:rFonts w:ascii="Arial" w:hAnsi="Arial" w:cs="Arial"/>
          <w:sz w:val="20"/>
          <w:szCs w:val="20"/>
        </w:rPr>
        <w:t>Better Information means Better Care’ is designed to foster a more informed understanding of the basis for the programme.</w:t>
      </w:r>
      <w:r w:rsidR="00321AA2">
        <w:rPr>
          <w:rFonts w:ascii="Arial" w:hAnsi="Arial" w:cs="Arial"/>
          <w:sz w:val="20"/>
          <w:szCs w:val="20"/>
        </w:rPr>
        <w:t xml:space="preserve">  </w:t>
      </w:r>
      <w:r w:rsidRPr="00957699">
        <w:rPr>
          <w:rFonts w:ascii="Arial" w:hAnsi="Arial" w:cs="Arial"/>
          <w:sz w:val="20"/>
          <w:szCs w:val="20"/>
        </w:rPr>
        <w:t>There may be legislative changes to more publicly protect and restrict the use of extracted data.</w:t>
      </w:r>
    </w:p>
    <w:p w:rsidR="00F0290C" w:rsidRPr="00957699" w:rsidRDefault="00F0290C" w:rsidP="00926AE8">
      <w:pPr>
        <w:jc w:val="both"/>
        <w:rPr>
          <w:rFonts w:ascii="Arial" w:hAnsi="Arial" w:cs="Arial"/>
          <w:sz w:val="20"/>
          <w:szCs w:val="20"/>
        </w:rPr>
      </w:pPr>
    </w:p>
    <w:p w:rsidR="00F0290C" w:rsidRPr="00957699" w:rsidRDefault="00F0290C" w:rsidP="00926AE8">
      <w:pPr>
        <w:jc w:val="both"/>
        <w:rPr>
          <w:rFonts w:ascii="Arial" w:hAnsi="Arial" w:cs="Arial"/>
          <w:sz w:val="20"/>
          <w:szCs w:val="20"/>
        </w:rPr>
      </w:pPr>
      <w:r w:rsidRPr="00957699">
        <w:rPr>
          <w:rFonts w:ascii="Arial" w:hAnsi="Arial" w:cs="Arial"/>
          <w:sz w:val="20"/>
          <w:szCs w:val="20"/>
        </w:rPr>
        <w:t xml:space="preserve">The current thinking is of a limited pilot relaunch in the autumn with improved publicity and an amended mailing to households.  There is also concern about the potential for confusion between the </w:t>
      </w:r>
      <w:proofErr w:type="spellStart"/>
      <w:r w:rsidRPr="00957699">
        <w:rPr>
          <w:rFonts w:ascii="Arial" w:hAnsi="Arial" w:cs="Arial"/>
          <w:sz w:val="20"/>
          <w:szCs w:val="20"/>
        </w:rPr>
        <w:t>care.data</w:t>
      </w:r>
      <w:proofErr w:type="spellEnd"/>
      <w:r w:rsidRPr="00957699">
        <w:rPr>
          <w:rFonts w:ascii="Arial" w:hAnsi="Arial" w:cs="Arial"/>
          <w:sz w:val="20"/>
          <w:szCs w:val="20"/>
        </w:rPr>
        <w:t xml:space="preserve"> programme and SCR.</w:t>
      </w:r>
    </w:p>
    <w:p w:rsidR="00F0290C" w:rsidRPr="00957699" w:rsidRDefault="00F0290C" w:rsidP="00926AE8">
      <w:pPr>
        <w:jc w:val="both"/>
        <w:rPr>
          <w:rFonts w:ascii="Arial" w:hAnsi="Arial" w:cs="Arial"/>
          <w:sz w:val="20"/>
          <w:szCs w:val="20"/>
        </w:rPr>
      </w:pPr>
    </w:p>
    <w:p w:rsidR="008D492C" w:rsidRDefault="00F0290C" w:rsidP="00926AE8">
      <w:pPr>
        <w:jc w:val="both"/>
        <w:rPr>
          <w:rFonts w:ascii="Arial" w:hAnsi="Arial" w:cs="Arial"/>
          <w:sz w:val="20"/>
          <w:szCs w:val="20"/>
        </w:rPr>
      </w:pPr>
      <w:r w:rsidRPr="00957699">
        <w:rPr>
          <w:rFonts w:ascii="Arial" w:hAnsi="Arial" w:cs="Arial"/>
          <w:sz w:val="20"/>
          <w:szCs w:val="20"/>
        </w:rPr>
        <w:t xml:space="preserve">For the moment, practices should take no further action, other than code any </w:t>
      </w:r>
      <w:proofErr w:type="gramStart"/>
      <w:r w:rsidRPr="00957699">
        <w:rPr>
          <w:rFonts w:ascii="Arial" w:hAnsi="Arial" w:cs="Arial"/>
          <w:sz w:val="20"/>
          <w:szCs w:val="20"/>
        </w:rPr>
        <w:t>opt-out</w:t>
      </w:r>
      <w:proofErr w:type="gramEnd"/>
      <w:r w:rsidRPr="00957699">
        <w:rPr>
          <w:rFonts w:ascii="Arial" w:hAnsi="Arial" w:cs="Arial"/>
          <w:sz w:val="20"/>
          <w:szCs w:val="20"/>
        </w:rPr>
        <w:t xml:space="preserve"> requests.  There is no need to continue to publicise the programme or distribute information to newly registering patients.</w:t>
      </w:r>
      <w:r w:rsidR="00321AA2">
        <w:rPr>
          <w:rFonts w:ascii="Arial" w:hAnsi="Arial" w:cs="Arial"/>
          <w:sz w:val="20"/>
          <w:szCs w:val="20"/>
        </w:rPr>
        <w:t xml:space="preserve">  </w:t>
      </w:r>
      <w:r w:rsidR="008D492C" w:rsidRPr="00957699">
        <w:rPr>
          <w:rFonts w:ascii="Arial" w:hAnsi="Arial" w:cs="Arial"/>
          <w:sz w:val="20"/>
          <w:szCs w:val="20"/>
        </w:rPr>
        <w:t xml:space="preserve">The </w:t>
      </w:r>
      <w:r w:rsidR="004A0526" w:rsidRPr="00957699">
        <w:rPr>
          <w:rFonts w:ascii="Arial" w:hAnsi="Arial" w:cs="Arial"/>
          <w:sz w:val="20"/>
          <w:szCs w:val="20"/>
        </w:rPr>
        <w:t>LMC</w:t>
      </w:r>
      <w:r w:rsidR="008D492C" w:rsidRPr="00957699">
        <w:rPr>
          <w:rFonts w:ascii="Arial" w:hAnsi="Arial" w:cs="Arial"/>
          <w:sz w:val="20"/>
          <w:szCs w:val="20"/>
        </w:rPr>
        <w:t xml:space="preserve"> are meeting the South Regional IT Manager to express GP concerns about the programme.</w:t>
      </w:r>
    </w:p>
    <w:p w:rsidR="00404729" w:rsidRDefault="00404729" w:rsidP="00926AE8">
      <w:pPr>
        <w:jc w:val="both"/>
        <w:rPr>
          <w:rFonts w:ascii="Arial" w:hAnsi="Arial" w:cs="Arial"/>
          <w:sz w:val="20"/>
          <w:szCs w:val="20"/>
        </w:rPr>
      </w:pPr>
    </w:p>
    <w:p w:rsidR="00404729" w:rsidRPr="00404729" w:rsidRDefault="00404729" w:rsidP="00404729">
      <w:pPr>
        <w:jc w:val="both"/>
        <w:rPr>
          <w:rFonts w:ascii="Arial" w:hAnsi="Arial" w:cs="Arial"/>
          <w:b/>
          <w:sz w:val="20"/>
          <w:szCs w:val="20"/>
        </w:rPr>
      </w:pPr>
      <w:r w:rsidRPr="00404729">
        <w:rPr>
          <w:rFonts w:ascii="Arial" w:hAnsi="Arial" w:cs="Arial"/>
          <w:b/>
          <w:sz w:val="20"/>
          <w:szCs w:val="20"/>
        </w:rPr>
        <w:t>BMA Survey of CCGs</w:t>
      </w:r>
    </w:p>
    <w:p w:rsidR="00404729" w:rsidRPr="00404729" w:rsidRDefault="00404729" w:rsidP="00404729">
      <w:pPr>
        <w:jc w:val="both"/>
        <w:rPr>
          <w:rFonts w:ascii="Arial" w:hAnsi="Arial" w:cs="Arial"/>
          <w:sz w:val="20"/>
          <w:szCs w:val="20"/>
        </w:rPr>
      </w:pPr>
      <w:r w:rsidRPr="00404729">
        <w:rPr>
          <w:rFonts w:ascii="Arial" w:hAnsi="Arial" w:cs="Arial"/>
          <w:sz w:val="20"/>
          <w:szCs w:val="20"/>
        </w:rPr>
        <w:t xml:space="preserve">The BMA has released a survey of General Practitioners perception of the work of CCGs, and their attitude towards CCGs.  </w:t>
      </w:r>
    </w:p>
    <w:p w:rsidR="00404729" w:rsidRPr="00404729" w:rsidRDefault="00404729" w:rsidP="00404729">
      <w:pPr>
        <w:jc w:val="both"/>
        <w:rPr>
          <w:rFonts w:ascii="Arial" w:hAnsi="Arial" w:cs="Arial"/>
          <w:sz w:val="20"/>
          <w:szCs w:val="20"/>
        </w:rPr>
      </w:pPr>
    </w:p>
    <w:p w:rsidR="00404729" w:rsidRPr="00404729" w:rsidRDefault="00404729" w:rsidP="00404729">
      <w:pPr>
        <w:jc w:val="both"/>
        <w:rPr>
          <w:rFonts w:ascii="Arial" w:hAnsi="Arial" w:cs="Arial"/>
          <w:sz w:val="20"/>
          <w:szCs w:val="20"/>
        </w:rPr>
      </w:pPr>
      <w:r w:rsidRPr="00404729">
        <w:rPr>
          <w:rFonts w:ascii="Arial" w:hAnsi="Arial" w:cs="Arial"/>
          <w:sz w:val="20"/>
          <w:szCs w:val="20"/>
        </w:rPr>
        <w:t xml:space="preserve">Although there are clearly some CCGs which are being effective, in general, it is disappointing to read that almost two thirds of GPs feel they have little influence over their CCGs or are being told what to do by the CCG.  There is also evidence that their day-to-day workload is preventing GPs from becoming more engaged with their CCG.  There is also no evidence that GPs believe that CCG policies have improved the care of patients. </w:t>
      </w:r>
    </w:p>
    <w:p w:rsidR="00404729" w:rsidRPr="00404729" w:rsidRDefault="00404729" w:rsidP="00404729">
      <w:pPr>
        <w:jc w:val="both"/>
        <w:rPr>
          <w:rFonts w:ascii="Arial" w:hAnsi="Arial" w:cs="Arial"/>
          <w:sz w:val="20"/>
          <w:szCs w:val="20"/>
        </w:rPr>
      </w:pPr>
    </w:p>
    <w:p w:rsidR="00404729" w:rsidRPr="00404729" w:rsidRDefault="00404729" w:rsidP="00404729">
      <w:pPr>
        <w:jc w:val="both"/>
        <w:rPr>
          <w:rFonts w:ascii="Arial" w:hAnsi="Arial" w:cs="Arial"/>
          <w:sz w:val="20"/>
          <w:szCs w:val="20"/>
        </w:rPr>
      </w:pPr>
      <w:r w:rsidRPr="00404729">
        <w:rPr>
          <w:rFonts w:ascii="Arial" w:hAnsi="Arial" w:cs="Arial"/>
          <w:sz w:val="20"/>
          <w:szCs w:val="20"/>
        </w:rPr>
        <w:t>I am writing to all GP practices with the results of this survey and encouraging both GPs and CCGs to consider how better to ensure engagement of GPs within their CCGs.</w:t>
      </w:r>
    </w:p>
    <w:p w:rsidR="00404729" w:rsidRPr="00404729" w:rsidRDefault="00404729" w:rsidP="00404729">
      <w:pPr>
        <w:jc w:val="both"/>
        <w:rPr>
          <w:rFonts w:ascii="Arial" w:hAnsi="Arial" w:cs="Arial"/>
          <w:sz w:val="20"/>
          <w:szCs w:val="20"/>
        </w:rPr>
      </w:pPr>
    </w:p>
    <w:p w:rsidR="00404729" w:rsidRPr="00404729" w:rsidRDefault="00404729" w:rsidP="00404729">
      <w:pPr>
        <w:jc w:val="both"/>
        <w:rPr>
          <w:rFonts w:ascii="Arial" w:hAnsi="Arial" w:cs="Arial"/>
          <w:sz w:val="20"/>
          <w:szCs w:val="20"/>
        </w:rPr>
      </w:pPr>
      <w:r w:rsidRPr="00404729">
        <w:rPr>
          <w:rFonts w:ascii="Arial" w:hAnsi="Arial" w:cs="Arial"/>
          <w:sz w:val="20"/>
          <w:szCs w:val="20"/>
        </w:rPr>
        <w:t xml:space="preserve">The full results of this survey are available at: </w:t>
      </w:r>
    </w:p>
    <w:p w:rsidR="00404729" w:rsidRPr="00404729" w:rsidRDefault="00CE7364" w:rsidP="00404729">
      <w:pPr>
        <w:jc w:val="both"/>
        <w:rPr>
          <w:rFonts w:ascii="Arial" w:hAnsi="Arial" w:cs="Arial"/>
          <w:sz w:val="20"/>
          <w:szCs w:val="20"/>
        </w:rPr>
      </w:pPr>
      <w:hyperlink r:id="rId12" w:history="1">
        <w:r w:rsidR="00404729" w:rsidRPr="00404729">
          <w:rPr>
            <w:rStyle w:val="Hyperlink"/>
            <w:rFonts w:ascii="Arial" w:hAnsi="Arial" w:cs="Arial"/>
            <w:sz w:val="20"/>
            <w:szCs w:val="20"/>
          </w:rPr>
          <w:t>http://bma.org.uk/working-for-change/negotiating-for-the-profession/bma-general-practitioners-committee/surveys/ccgs-one-year-on</w:t>
        </w:r>
      </w:hyperlink>
    </w:p>
    <w:p w:rsidR="00F0290C" w:rsidRPr="00957699" w:rsidRDefault="00F0290C" w:rsidP="00926AE8">
      <w:pPr>
        <w:tabs>
          <w:tab w:val="left" w:pos="709"/>
        </w:tabs>
        <w:jc w:val="both"/>
        <w:rPr>
          <w:rFonts w:ascii="Arial" w:hAnsi="Arial" w:cs="Arial"/>
          <w:b/>
          <w:sz w:val="20"/>
          <w:szCs w:val="20"/>
        </w:rPr>
      </w:pPr>
    </w:p>
    <w:p w:rsidR="00F0290C" w:rsidRPr="00957699" w:rsidRDefault="00F0290C" w:rsidP="00926AE8">
      <w:pPr>
        <w:tabs>
          <w:tab w:val="left" w:pos="567"/>
        </w:tabs>
        <w:jc w:val="both"/>
        <w:rPr>
          <w:rFonts w:ascii="Arial" w:hAnsi="Arial" w:cs="Arial"/>
          <w:b/>
          <w:sz w:val="20"/>
          <w:szCs w:val="20"/>
        </w:rPr>
      </w:pPr>
      <w:r w:rsidRPr="00957699">
        <w:rPr>
          <w:rFonts w:ascii="Arial" w:hAnsi="Arial" w:cs="Arial"/>
          <w:b/>
          <w:sz w:val="20"/>
          <w:szCs w:val="20"/>
        </w:rPr>
        <w:t>Knowledge of English: Medical Act 1983 (Amendment)</w:t>
      </w:r>
    </w:p>
    <w:p w:rsidR="00F0290C" w:rsidRPr="00957699" w:rsidRDefault="00F0290C" w:rsidP="00926AE8">
      <w:pPr>
        <w:jc w:val="both"/>
        <w:rPr>
          <w:rFonts w:ascii="Arial" w:hAnsi="Arial" w:cs="Arial"/>
          <w:sz w:val="20"/>
          <w:szCs w:val="20"/>
        </w:rPr>
      </w:pPr>
      <w:r w:rsidRPr="00957699">
        <w:rPr>
          <w:rFonts w:ascii="Arial" w:hAnsi="Arial" w:cs="Arial"/>
          <w:sz w:val="20"/>
          <w:szCs w:val="20"/>
        </w:rPr>
        <w:t>The Medical Act has been amended to allow the GMC to assess doctors’ knowledge of English when considering their fitness to practice for the purpose of registration with the GMC, and allow the GMC to direct that a medical practitioner should undertake an assessment of their knowledge of English if this is thought to be required.  The GMC can also sanction doctors if their knowledge of English is found to be inadequate.</w:t>
      </w:r>
    </w:p>
    <w:p w:rsidR="00F0290C" w:rsidRPr="00957699" w:rsidRDefault="00F0290C" w:rsidP="00926AE8">
      <w:pPr>
        <w:jc w:val="both"/>
        <w:rPr>
          <w:rFonts w:ascii="Arial" w:hAnsi="Arial" w:cs="Arial"/>
          <w:sz w:val="20"/>
          <w:szCs w:val="20"/>
        </w:rPr>
      </w:pPr>
    </w:p>
    <w:p w:rsidR="00F0290C" w:rsidRPr="00957699" w:rsidRDefault="00F0290C" w:rsidP="00926AE8">
      <w:pPr>
        <w:jc w:val="both"/>
        <w:rPr>
          <w:rFonts w:ascii="Arial" w:hAnsi="Arial" w:cs="Arial"/>
          <w:sz w:val="20"/>
          <w:szCs w:val="20"/>
        </w:rPr>
      </w:pPr>
      <w:r w:rsidRPr="00957699">
        <w:rPr>
          <w:rFonts w:ascii="Arial" w:hAnsi="Arial" w:cs="Arial"/>
          <w:sz w:val="20"/>
          <w:szCs w:val="20"/>
        </w:rPr>
        <w:t>The GMC has campaigned for this change for some years now and has finally been successful; these rules will come into effect on 25</w:t>
      </w:r>
      <w:r w:rsidRPr="00957699">
        <w:rPr>
          <w:rFonts w:ascii="Arial" w:hAnsi="Arial" w:cs="Arial"/>
          <w:sz w:val="20"/>
          <w:szCs w:val="20"/>
          <w:vertAlign w:val="superscript"/>
        </w:rPr>
        <w:t>th</w:t>
      </w:r>
      <w:r w:rsidRPr="00957699">
        <w:rPr>
          <w:rFonts w:ascii="Arial" w:hAnsi="Arial" w:cs="Arial"/>
          <w:sz w:val="20"/>
          <w:szCs w:val="20"/>
        </w:rPr>
        <w:t xml:space="preserve"> June, and the minimum score for the International English Language Testing System test is also being raised. </w:t>
      </w:r>
    </w:p>
    <w:p w:rsidR="00F0290C" w:rsidRPr="00957699" w:rsidRDefault="00F0290C" w:rsidP="00F0290C">
      <w:pPr>
        <w:tabs>
          <w:tab w:val="left" w:pos="709"/>
        </w:tabs>
        <w:jc w:val="both"/>
        <w:rPr>
          <w:rFonts w:ascii="Arial" w:hAnsi="Arial" w:cs="Arial"/>
          <w:b/>
          <w:sz w:val="20"/>
          <w:szCs w:val="20"/>
        </w:rPr>
      </w:pPr>
    </w:p>
    <w:p w:rsidR="008D492C" w:rsidRPr="00957699" w:rsidRDefault="008D492C" w:rsidP="00926AE8">
      <w:pPr>
        <w:tabs>
          <w:tab w:val="left" w:pos="709"/>
        </w:tabs>
        <w:jc w:val="both"/>
        <w:rPr>
          <w:rFonts w:ascii="Arial" w:hAnsi="Arial" w:cs="Arial"/>
          <w:b/>
          <w:sz w:val="20"/>
          <w:szCs w:val="20"/>
        </w:rPr>
      </w:pPr>
      <w:r w:rsidRPr="00957699">
        <w:rPr>
          <w:rFonts w:ascii="Arial" w:hAnsi="Arial" w:cs="Arial"/>
          <w:b/>
          <w:sz w:val="20"/>
          <w:szCs w:val="20"/>
        </w:rPr>
        <w:t>Update on Appraisal Arrangements – Surrey and Sussex</w:t>
      </w:r>
    </w:p>
    <w:p w:rsidR="008D492C" w:rsidRPr="00957699" w:rsidRDefault="008D492C" w:rsidP="00926AE8">
      <w:pPr>
        <w:jc w:val="both"/>
        <w:rPr>
          <w:rFonts w:ascii="Arial" w:hAnsi="Arial" w:cs="Arial"/>
          <w:sz w:val="20"/>
          <w:szCs w:val="20"/>
        </w:rPr>
      </w:pPr>
      <w:r w:rsidRPr="00957699">
        <w:rPr>
          <w:rFonts w:ascii="Arial" w:hAnsi="Arial" w:cs="Arial"/>
          <w:sz w:val="20"/>
          <w:szCs w:val="20"/>
        </w:rPr>
        <w:t>The total number of GPs with a connection to the Surrey and Sussex RO is 2382.  Of these 458 were recommended for revalidation April 2013 – March 2014, which is just below the 20% target of 476</w:t>
      </w:r>
      <w:r w:rsidR="00CF1713" w:rsidRPr="00957699">
        <w:rPr>
          <w:rFonts w:ascii="Arial" w:hAnsi="Arial" w:cs="Arial"/>
          <w:sz w:val="20"/>
          <w:szCs w:val="20"/>
        </w:rPr>
        <w:t xml:space="preserve">.  </w:t>
      </w:r>
      <w:r w:rsidR="004A0526" w:rsidRPr="00957699">
        <w:rPr>
          <w:rFonts w:ascii="Arial" w:hAnsi="Arial" w:cs="Arial"/>
          <w:sz w:val="20"/>
          <w:szCs w:val="20"/>
        </w:rPr>
        <w:t>1</w:t>
      </w:r>
      <w:r w:rsidR="00CF1713" w:rsidRPr="00957699">
        <w:rPr>
          <w:rFonts w:ascii="Arial" w:hAnsi="Arial" w:cs="Arial"/>
          <w:sz w:val="20"/>
          <w:szCs w:val="20"/>
        </w:rPr>
        <w:t xml:space="preserve">18 were deferred, the great majority at the GPs own request for reasons such as sickness or maternity leave.  </w:t>
      </w:r>
      <w:r w:rsidR="00CF1713" w:rsidRPr="00957699">
        <w:rPr>
          <w:rFonts w:ascii="Arial" w:hAnsi="Arial" w:cs="Arial"/>
          <w:sz w:val="20"/>
          <w:szCs w:val="20"/>
        </w:rPr>
        <w:lastRenderedPageBreak/>
        <w:t>A much smaller number were deferred because of current performance issues either at the GMC or Area Team.  One GP was referred to the GMC for non-engagement with the approval process.</w:t>
      </w:r>
    </w:p>
    <w:p w:rsidR="004A0526" w:rsidRPr="00957699" w:rsidRDefault="004A0526" w:rsidP="00926AE8">
      <w:pPr>
        <w:tabs>
          <w:tab w:val="left" w:pos="709"/>
        </w:tabs>
        <w:jc w:val="both"/>
        <w:rPr>
          <w:rFonts w:ascii="Arial" w:hAnsi="Arial" w:cs="Arial"/>
          <w:sz w:val="20"/>
          <w:szCs w:val="20"/>
        </w:rPr>
      </w:pPr>
    </w:p>
    <w:p w:rsidR="004A0526" w:rsidRPr="00957699" w:rsidRDefault="004A0526" w:rsidP="00926AE8">
      <w:pPr>
        <w:jc w:val="both"/>
        <w:rPr>
          <w:rFonts w:ascii="Arial" w:hAnsi="Arial" w:cs="Arial"/>
          <w:sz w:val="20"/>
          <w:szCs w:val="20"/>
        </w:rPr>
      </w:pPr>
      <w:r w:rsidRPr="00957699">
        <w:rPr>
          <w:rFonts w:ascii="Arial" w:hAnsi="Arial" w:cs="Arial"/>
          <w:sz w:val="20"/>
          <w:szCs w:val="20"/>
        </w:rPr>
        <w:t>The target for revalidation recommendations this year is 40%, which is a significant increase and may represent more of a challenge, as the first 20% cohort were to an extent seen as GP “leaders” and therefore, arguable, more engaged with the process and more likely to have the evidence required for their appraisal.</w:t>
      </w:r>
    </w:p>
    <w:p w:rsidR="00CF1713" w:rsidRPr="00957699" w:rsidRDefault="00CF1713" w:rsidP="00926AE8">
      <w:pPr>
        <w:jc w:val="both"/>
        <w:rPr>
          <w:rFonts w:ascii="Arial" w:hAnsi="Arial" w:cs="Arial"/>
          <w:sz w:val="20"/>
          <w:szCs w:val="20"/>
        </w:rPr>
      </w:pPr>
    </w:p>
    <w:p w:rsidR="00574D92" w:rsidRDefault="00CF1713" w:rsidP="00321AA2">
      <w:pPr>
        <w:spacing w:after="120"/>
        <w:jc w:val="both"/>
        <w:rPr>
          <w:rFonts w:ascii="Arial" w:hAnsi="Arial" w:cs="Arial"/>
          <w:sz w:val="20"/>
          <w:szCs w:val="20"/>
        </w:rPr>
      </w:pPr>
      <w:r w:rsidRPr="00957699">
        <w:rPr>
          <w:rFonts w:ascii="Arial" w:hAnsi="Arial" w:cs="Arial"/>
          <w:sz w:val="20"/>
          <w:szCs w:val="20"/>
        </w:rPr>
        <w:t xml:space="preserve">The Area Team has </w:t>
      </w:r>
      <w:r w:rsidR="004A0526" w:rsidRPr="00957699">
        <w:rPr>
          <w:rFonts w:ascii="Arial" w:hAnsi="Arial" w:cs="Arial"/>
          <w:sz w:val="20"/>
          <w:szCs w:val="20"/>
        </w:rPr>
        <w:t>just appointed a</w:t>
      </w:r>
      <w:r w:rsidRPr="00957699">
        <w:rPr>
          <w:rFonts w:ascii="Arial" w:hAnsi="Arial" w:cs="Arial"/>
          <w:sz w:val="20"/>
          <w:szCs w:val="20"/>
        </w:rPr>
        <w:t xml:space="preserve"> pool of clinical advisers to assist in performance matters.</w:t>
      </w:r>
    </w:p>
    <w:p w:rsidR="00404729" w:rsidRPr="00404729" w:rsidRDefault="00404729" w:rsidP="00404729">
      <w:pPr>
        <w:spacing w:after="120"/>
        <w:jc w:val="both"/>
        <w:rPr>
          <w:rFonts w:ascii="Arial" w:hAnsi="Arial" w:cs="Arial"/>
          <w:color w:val="FF0000"/>
          <w:sz w:val="20"/>
          <w:szCs w:val="20"/>
        </w:rPr>
      </w:pPr>
      <w:r w:rsidRPr="00404729">
        <w:rPr>
          <w:rFonts w:ascii="Arial" w:hAnsi="Arial" w:cs="Arial"/>
          <w:color w:val="FF0000"/>
          <w:sz w:val="20"/>
          <w:szCs w:val="20"/>
        </w:rPr>
        <w:t>Fifty Shades of Red</w:t>
      </w:r>
    </w:p>
    <w:p w:rsidR="00404729" w:rsidRPr="00404729" w:rsidRDefault="00404729" w:rsidP="00404729">
      <w:pPr>
        <w:spacing w:after="120"/>
        <w:jc w:val="both"/>
        <w:rPr>
          <w:rFonts w:ascii="Arial" w:hAnsi="Arial" w:cs="Arial"/>
          <w:sz w:val="20"/>
          <w:szCs w:val="20"/>
        </w:rPr>
      </w:pPr>
      <w:r w:rsidRPr="00404729">
        <w:rPr>
          <w:rFonts w:ascii="Arial" w:hAnsi="Arial" w:cs="Arial"/>
          <w:sz w:val="20"/>
          <w:szCs w:val="20"/>
        </w:rPr>
        <w:t>London Fire Brigade have already noted an increase in call-outs to people trapped in handcuffs, and noted this may be related to the popularity of books such as E L James’</w:t>
      </w:r>
      <w:r>
        <w:rPr>
          <w:rFonts w:ascii="Arial" w:hAnsi="Arial" w:cs="Arial"/>
          <w:sz w:val="20"/>
          <w:szCs w:val="20"/>
        </w:rPr>
        <w:t xml:space="preserve"> </w:t>
      </w:r>
      <w:r w:rsidRPr="00404729">
        <w:rPr>
          <w:rFonts w:ascii="Arial" w:hAnsi="Arial" w:cs="Arial"/>
          <w:sz w:val="20"/>
          <w:szCs w:val="20"/>
        </w:rPr>
        <w:t>trilogy ‘Fifty Shades of Grey’.  Their official advice now includes the line: “If you use handcuffs, always keep the key handy”.</w:t>
      </w:r>
    </w:p>
    <w:p w:rsidR="00404729" w:rsidRDefault="00404729" w:rsidP="00404729">
      <w:pPr>
        <w:spacing w:after="120"/>
        <w:jc w:val="both"/>
        <w:rPr>
          <w:rFonts w:ascii="Arial" w:hAnsi="Arial" w:cs="Arial"/>
          <w:sz w:val="20"/>
          <w:szCs w:val="20"/>
        </w:rPr>
      </w:pPr>
      <w:r w:rsidRPr="00404729">
        <w:rPr>
          <w:rFonts w:ascii="Arial" w:hAnsi="Arial" w:cs="Arial"/>
          <w:sz w:val="20"/>
          <w:szCs w:val="20"/>
        </w:rPr>
        <w:t>Now the BMA have warned that the recent increase in STIs amongst older couples could also be attrib</w:t>
      </w:r>
      <w:r>
        <w:rPr>
          <w:rFonts w:ascii="Arial" w:hAnsi="Arial" w:cs="Arial"/>
          <w:sz w:val="20"/>
          <w:szCs w:val="20"/>
        </w:rPr>
        <w:t>uted to the book encouraging a ‘</w:t>
      </w:r>
      <w:r w:rsidRPr="00404729">
        <w:rPr>
          <w:rFonts w:ascii="Arial" w:hAnsi="Arial" w:cs="Arial"/>
          <w:sz w:val="20"/>
          <w:szCs w:val="20"/>
        </w:rPr>
        <w:t>more explorative</w:t>
      </w:r>
      <w:r>
        <w:rPr>
          <w:rFonts w:ascii="Arial" w:hAnsi="Arial" w:cs="Arial"/>
          <w:sz w:val="20"/>
          <w:szCs w:val="20"/>
        </w:rPr>
        <w:t>’</w:t>
      </w:r>
      <w:r w:rsidRPr="00404729">
        <w:rPr>
          <w:rFonts w:ascii="Arial" w:hAnsi="Arial" w:cs="Arial"/>
          <w:sz w:val="20"/>
          <w:szCs w:val="20"/>
        </w:rPr>
        <w:t xml:space="preserve"> approach in the bedroom  – although in fact the main characters in the bo</w:t>
      </w:r>
      <w:r>
        <w:rPr>
          <w:rFonts w:ascii="Arial" w:hAnsi="Arial" w:cs="Arial"/>
          <w:sz w:val="20"/>
          <w:szCs w:val="20"/>
        </w:rPr>
        <w:t>ok are, apparently, in their 20</w:t>
      </w:r>
      <w:r w:rsidRPr="00404729">
        <w:rPr>
          <w:rFonts w:ascii="Arial" w:hAnsi="Arial" w:cs="Arial"/>
          <w:sz w:val="20"/>
          <w:szCs w:val="20"/>
        </w:rPr>
        <w:t>s.</w:t>
      </w:r>
    </w:p>
    <w:p w:rsidR="00404729" w:rsidRDefault="00404729" w:rsidP="00321AA2">
      <w:pPr>
        <w:spacing w:after="120"/>
        <w:jc w:val="both"/>
        <w:rPr>
          <w:rFonts w:ascii="Arial" w:hAnsi="Arial" w:cs="Arial"/>
          <w:sz w:val="20"/>
          <w:szCs w:val="20"/>
        </w:rPr>
      </w:pPr>
    </w:p>
    <w:p w:rsidR="00404729" w:rsidRDefault="00404729" w:rsidP="00321AA2">
      <w:pPr>
        <w:spacing w:after="120"/>
        <w:jc w:val="both"/>
        <w:rPr>
          <w:rFonts w:ascii="Arial" w:hAnsi="Arial" w:cs="Arial"/>
          <w:sz w:val="20"/>
          <w:szCs w:val="20"/>
        </w:rPr>
      </w:pPr>
    </w:p>
    <w:p w:rsidR="00404729" w:rsidRPr="00957699" w:rsidRDefault="00404729" w:rsidP="00321AA2">
      <w:pPr>
        <w:spacing w:after="120"/>
        <w:jc w:val="both"/>
        <w:rPr>
          <w:rFonts w:ascii="Arial" w:hAnsi="Arial" w:cs="Arial"/>
          <w:b/>
          <w:color w:val="0000FF"/>
          <w:sz w:val="20"/>
          <w:szCs w:val="20"/>
        </w:rPr>
      </w:pPr>
    </w:p>
    <w:p w:rsidR="00F63E79" w:rsidRPr="00957699" w:rsidRDefault="00574D92" w:rsidP="00926AE8">
      <w:pPr>
        <w:jc w:val="right"/>
        <w:rPr>
          <w:rFonts w:ascii="Arial" w:hAnsi="Arial" w:cs="Arial"/>
          <w:sz w:val="20"/>
          <w:szCs w:val="20"/>
        </w:rPr>
      </w:pPr>
      <w:r w:rsidRPr="00957699">
        <w:rPr>
          <w:rFonts w:ascii="Arial" w:hAnsi="Arial" w:cs="Arial"/>
          <w:sz w:val="20"/>
          <w:szCs w:val="20"/>
        </w:rPr>
        <w:t>Dr Julius Parker</w:t>
      </w:r>
    </w:p>
    <w:p w:rsidR="009E7517" w:rsidRPr="00E46BF7" w:rsidRDefault="00574D92" w:rsidP="00321AA2">
      <w:pPr>
        <w:jc w:val="right"/>
        <w:rPr>
          <w:sz w:val="20"/>
          <w:szCs w:val="20"/>
        </w:rPr>
      </w:pPr>
      <w:r w:rsidRPr="00E46BF7">
        <w:rPr>
          <w:rFonts w:ascii="Arial" w:hAnsi="Arial" w:cs="Arial"/>
          <w:sz w:val="20"/>
          <w:szCs w:val="20"/>
        </w:rPr>
        <w:t>Chief Executive</w:t>
      </w:r>
    </w:p>
    <w:p w:rsidR="009E7517" w:rsidRPr="00957699" w:rsidRDefault="009E7517" w:rsidP="00BE3C46">
      <w:pPr>
        <w:rPr>
          <w:sz w:val="20"/>
          <w:szCs w:val="20"/>
        </w:rPr>
      </w:pPr>
    </w:p>
    <w:p w:rsidR="009E7517" w:rsidRPr="00957699" w:rsidRDefault="009E7517" w:rsidP="00BE3C46">
      <w:pPr>
        <w:rPr>
          <w:sz w:val="20"/>
          <w:szCs w:val="20"/>
        </w:rPr>
      </w:pPr>
    </w:p>
    <w:p w:rsidR="009E7517" w:rsidRPr="00957699" w:rsidRDefault="009E7517" w:rsidP="00BE3C46">
      <w:pPr>
        <w:rPr>
          <w:sz w:val="20"/>
          <w:szCs w:val="20"/>
        </w:rPr>
      </w:pPr>
    </w:p>
    <w:p w:rsidR="009E7517" w:rsidRPr="00957699" w:rsidRDefault="009E7517" w:rsidP="00BE3C46">
      <w:pPr>
        <w:rPr>
          <w:sz w:val="20"/>
          <w:szCs w:val="20"/>
        </w:rPr>
      </w:pPr>
    </w:p>
    <w:p w:rsidR="009E7517" w:rsidRPr="00957699" w:rsidRDefault="009E7517" w:rsidP="00BE3C46">
      <w:pPr>
        <w:rPr>
          <w:sz w:val="20"/>
          <w:szCs w:val="20"/>
        </w:rPr>
      </w:pPr>
    </w:p>
    <w:p w:rsidR="009E7517" w:rsidRPr="00957699" w:rsidRDefault="009E7517" w:rsidP="00BE3C46">
      <w:pPr>
        <w:rPr>
          <w:sz w:val="20"/>
          <w:szCs w:val="20"/>
        </w:rPr>
      </w:pPr>
    </w:p>
    <w:p w:rsidR="00461FC7" w:rsidRDefault="00461FC7" w:rsidP="00BE3C46">
      <w:pPr>
        <w:sectPr w:rsidR="00461FC7" w:rsidSect="00461FC7">
          <w:footerReference w:type="even" r:id="rId13"/>
          <w:footerReference w:type="default" r:id="rId14"/>
          <w:footerReference w:type="first" r:id="rId15"/>
          <w:pgSz w:w="12240" w:h="15840" w:code="1"/>
          <w:pgMar w:top="567" w:right="1440" w:bottom="284" w:left="1440" w:header="709" w:footer="709" w:gutter="0"/>
          <w:cols w:space="708"/>
          <w:titlePg/>
          <w:docGrid w:linePitch="360"/>
        </w:sectPr>
      </w:pPr>
    </w:p>
    <w:p w:rsidR="009E7517" w:rsidRDefault="009E7517" w:rsidP="00BE3C46"/>
    <w:p w:rsidR="009E7517" w:rsidRDefault="00032421" w:rsidP="00BE3C46">
      <w:r>
        <w:rPr>
          <w:noProof/>
          <w:lang w:eastAsia="en-GB"/>
        </w:rPr>
        <w:drawing>
          <wp:inline distT="0" distB="0" distL="0" distR="0" wp14:anchorId="7F2B6D23" wp14:editId="4006C2CA">
            <wp:extent cx="9515475" cy="3695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15475" cy="3695700"/>
                    </a:xfrm>
                    <a:prstGeom prst="rect">
                      <a:avLst/>
                    </a:prstGeom>
                    <a:noFill/>
                    <a:ln>
                      <a:noFill/>
                    </a:ln>
                  </pic:spPr>
                </pic:pic>
              </a:graphicData>
            </a:graphic>
          </wp:inline>
        </w:drawing>
      </w:r>
    </w:p>
    <w:p w:rsidR="009E7517" w:rsidRDefault="009E7517" w:rsidP="00BE3C46"/>
    <w:p w:rsidR="009E7517" w:rsidRDefault="009E7517" w:rsidP="00BE3C46"/>
    <w:p w:rsidR="009E7517" w:rsidRDefault="009E7517" w:rsidP="00BE3C46"/>
    <w:p w:rsidR="009E7517" w:rsidRDefault="009E7517" w:rsidP="00BE3C46"/>
    <w:p w:rsidR="009E7517" w:rsidRDefault="009E7517" w:rsidP="00BE3C46"/>
    <w:p w:rsidR="009E7517" w:rsidRDefault="009E7517" w:rsidP="00BE3C46"/>
    <w:p w:rsidR="009E7517" w:rsidRDefault="009E7517" w:rsidP="00BE3C46"/>
    <w:p w:rsidR="009E7517" w:rsidRDefault="009E7517" w:rsidP="00BE3C46"/>
    <w:p w:rsidR="009E7517" w:rsidRDefault="009E7517" w:rsidP="00BE3C46"/>
    <w:p w:rsidR="009E7517" w:rsidRDefault="009E7517" w:rsidP="00BE3C46"/>
    <w:p w:rsidR="009E7517" w:rsidRDefault="009E7517" w:rsidP="00BE3C46"/>
    <w:p w:rsidR="00D621D4" w:rsidRDefault="00D621D4" w:rsidP="00BE3C46"/>
    <w:p w:rsidR="00D621D4" w:rsidRDefault="00D621D4" w:rsidP="00BE3C46"/>
    <w:p w:rsidR="00D621D4" w:rsidRDefault="00D621D4" w:rsidP="00BE3C46"/>
    <w:p w:rsidR="00D621D4" w:rsidRDefault="00D621D4" w:rsidP="00BE3C46"/>
    <w:p w:rsidR="00D621D4" w:rsidRPr="00D621D4" w:rsidRDefault="00032421" w:rsidP="004A0526">
      <w:pPr>
        <w:autoSpaceDE w:val="0"/>
        <w:autoSpaceDN w:val="0"/>
        <w:adjustRightInd w:val="0"/>
        <w:jc w:val="center"/>
        <w:rPr>
          <w:rFonts w:ascii="Arial" w:hAnsi="Arial" w:cs="Arial"/>
          <w:color w:val="000000"/>
          <w:lang w:eastAsia="en-GB"/>
        </w:rPr>
      </w:pPr>
      <w:r>
        <w:rPr>
          <w:rFonts w:ascii="Arial" w:hAnsi="Arial" w:cs="Arial"/>
          <w:noProof/>
          <w:color w:val="000000"/>
          <w:lang w:eastAsia="en-GB"/>
        </w:rPr>
        <w:lastRenderedPageBreak/>
        <w:drawing>
          <wp:inline distT="0" distB="0" distL="0" distR="0" wp14:anchorId="5E6B8896" wp14:editId="5E63CE16">
            <wp:extent cx="5895975" cy="1228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5975" cy="1228725"/>
                    </a:xfrm>
                    <a:prstGeom prst="rect">
                      <a:avLst/>
                    </a:prstGeom>
                    <a:noFill/>
                    <a:ln>
                      <a:noFill/>
                    </a:ln>
                  </pic:spPr>
                </pic:pic>
              </a:graphicData>
            </a:graphic>
          </wp:inline>
        </w:drawing>
      </w:r>
    </w:p>
    <w:p w:rsidR="00D621D4" w:rsidRDefault="00032421" w:rsidP="00D621D4">
      <w:pPr>
        <w:autoSpaceDE w:val="0"/>
        <w:autoSpaceDN w:val="0"/>
        <w:adjustRightInd w:val="0"/>
        <w:jc w:val="center"/>
        <w:rPr>
          <w:rFonts w:ascii="Arial" w:hAnsi="Arial" w:cs="Arial"/>
          <w:lang w:eastAsia="en-GB"/>
        </w:rPr>
      </w:pPr>
      <w:r>
        <w:rPr>
          <w:rFonts w:ascii="Arial" w:hAnsi="Arial" w:cs="Arial"/>
          <w:noProof/>
          <w:lang w:eastAsia="en-GB"/>
        </w:rPr>
        <w:lastRenderedPageBreak/>
        <w:drawing>
          <wp:inline distT="0" distB="0" distL="0" distR="0" wp14:anchorId="35E61BE7" wp14:editId="57C934B3">
            <wp:extent cx="9020175" cy="6686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20175" cy="6686550"/>
                    </a:xfrm>
                    <a:prstGeom prst="rect">
                      <a:avLst/>
                    </a:prstGeom>
                    <a:noFill/>
                    <a:ln>
                      <a:noFill/>
                    </a:ln>
                  </pic:spPr>
                </pic:pic>
              </a:graphicData>
            </a:graphic>
          </wp:inline>
        </w:drawing>
      </w:r>
    </w:p>
    <w:p w:rsidR="00D621D4" w:rsidRDefault="00032421" w:rsidP="00D621D4">
      <w:pPr>
        <w:autoSpaceDE w:val="0"/>
        <w:autoSpaceDN w:val="0"/>
        <w:adjustRightInd w:val="0"/>
        <w:jc w:val="center"/>
        <w:rPr>
          <w:rFonts w:ascii="Arial" w:hAnsi="Arial" w:cs="Arial"/>
          <w:lang w:eastAsia="en-GB"/>
        </w:rPr>
      </w:pPr>
      <w:r>
        <w:rPr>
          <w:rFonts w:ascii="Arial" w:hAnsi="Arial" w:cs="Arial"/>
          <w:noProof/>
          <w:lang w:eastAsia="en-GB"/>
        </w:rPr>
        <w:lastRenderedPageBreak/>
        <w:drawing>
          <wp:inline distT="0" distB="0" distL="0" distR="0" wp14:anchorId="5CF79151" wp14:editId="208EA58C">
            <wp:extent cx="8982075" cy="6667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82075" cy="6667500"/>
                    </a:xfrm>
                    <a:prstGeom prst="rect">
                      <a:avLst/>
                    </a:prstGeom>
                    <a:noFill/>
                    <a:ln>
                      <a:noFill/>
                    </a:ln>
                  </pic:spPr>
                </pic:pic>
              </a:graphicData>
            </a:graphic>
          </wp:inline>
        </w:drawing>
      </w:r>
    </w:p>
    <w:p w:rsidR="004A0526" w:rsidRPr="00D621D4" w:rsidRDefault="00032421" w:rsidP="00D621D4">
      <w:pPr>
        <w:autoSpaceDE w:val="0"/>
        <w:autoSpaceDN w:val="0"/>
        <w:adjustRightInd w:val="0"/>
        <w:jc w:val="center"/>
        <w:rPr>
          <w:rFonts w:ascii="Arial" w:hAnsi="Arial" w:cs="Arial"/>
          <w:lang w:eastAsia="en-GB"/>
        </w:rPr>
      </w:pPr>
      <w:r>
        <w:rPr>
          <w:rFonts w:ascii="Arial" w:hAnsi="Arial" w:cs="Arial"/>
          <w:noProof/>
          <w:lang w:eastAsia="en-GB"/>
        </w:rPr>
        <w:lastRenderedPageBreak/>
        <w:drawing>
          <wp:inline distT="0" distB="0" distL="0" distR="0" wp14:anchorId="1B71AC86" wp14:editId="72F46126">
            <wp:extent cx="9172575" cy="6438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72575" cy="6438900"/>
                    </a:xfrm>
                    <a:prstGeom prst="rect">
                      <a:avLst/>
                    </a:prstGeom>
                    <a:noFill/>
                    <a:ln>
                      <a:noFill/>
                    </a:ln>
                  </pic:spPr>
                </pic:pic>
              </a:graphicData>
            </a:graphic>
          </wp:inline>
        </w:drawing>
      </w:r>
    </w:p>
    <w:sectPr w:rsidR="004A0526" w:rsidRPr="00D621D4" w:rsidSect="00D621D4">
      <w:pgSz w:w="15840" w:h="12240" w:orient="landscape" w:code="1"/>
      <w:pgMar w:top="851" w:right="284"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364" w:rsidRDefault="00CE7364">
      <w:r>
        <w:separator/>
      </w:r>
    </w:p>
  </w:endnote>
  <w:endnote w:type="continuationSeparator" w:id="0">
    <w:p w:rsidR="00CE7364" w:rsidRDefault="00CE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liss 2 Light">
    <w:altName w:val="Arial"/>
    <w:panose1 w:val="00000000000000000000"/>
    <w:charset w:val="00"/>
    <w:family w:val="modern"/>
    <w:notTrueType/>
    <w:pitch w:val="variable"/>
    <w:sig w:usb0="00000001" w:usb1="5000204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ITVYR+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altName w:val="Century Gothic"/>
    <w:charset w:val="00"/>
    <w:family w:val="swiss"/>
    <w:pitch w:val="variable"/>
    <w:sig w:usb0="00000001" w:usb1="00000000" w:usb2="00000000" w:usb3="00000000" w:csb0="00000003" w:csb1="00000000"/>
  </w:font>
  <w:font w:name="Gill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39" w:rsidRDefault="00727A39" w:rsidP="00F13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A39" w:rsidRDefault="00727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39" w:rsidRPr="00321AA2" w:rsidRDefault="00727A39" w:rsidP="00F136D0">
    <w:pPr>
      <w:pStyle w:val="Footer"/>
      <w:framePr w:wrap="around" w:vAnchor="text" w:hAnchor="margin" w:xAlign="center" w:y="1"/>
      <w:rPr>
        <w:rStyle w:val="PageNumber"/>
        <w:rFonts w:ascii="Arial" w:hAnsi="Arial" w:cs="Arial"/>
        <w:sz w:val="18"/>
        <w:szCs w:val="18"/>
      </w:rPr>
    </w:pPr>
    <w:r w:rsidRPr="00321AA2">
      <w:rPr>
        <w:rStyle w:val="PageNumber"/>
        <w:rFonts w:ascii="Arial" w:hAnsi="Arial" w:cs="Arial"/>
        <w:sz w:val="18"/>
        <w:szCs w:val="18"/>
      </w:rPr>
      <w:fldChar w:fldCharType="begin"/>
    </w:r>
    <w:r w:rsidRPr="00321AA2">
      <w:rPr>
        <w:rStyle w:val="PageNumber"/>
        <w:rFonts w:ascii="Arial" w:hAnsi="Arial" w:cs="Arial"/>
        <w:sz w:val="18"/>
        <w:szCs w:val="18"/>
      </w:rPr>
      <w:instrText xml:space="preserve">PAGE  </w:instrText>
    </w:r>
    <w:r w:rsidRPr="00321AA2">
      <w:rPr>
        <w:rStyle w:val="PageNumber"/>
        <w:rFonts w:ascii="Arial" w:hAnsi="Arial" w:cs="Arial"/>
        <w:sz w:val="18"/>
        <w:szCs w:val="18"/>
      </w:rPr>
      <w:fldChar w:fldCharType="separate"/>
    </w:r>
    <w:r w:rsidR="006B01B1">
      <w:rPr>
        <w:rStyle w:val="PageNumber"/>
        <w:rFonts w:ascii="Arial" w:hAnsi="Arial" w:cs="Arial"/>
        <w:noProof/>
        <w:sz w:val="18"/>
        <w:szCs w:val="18"/>
      </w:rPr>
      <w:t>4</w:t>
    </w:r>
    <w:r w:rsidRPr="00321AA2">
      <w:rPr>
        <w:rStyle w:val="PageNumber"/>
        <w:rFonts w:ascii="Arial" w:hAnsi="Arial" w:cs="Arial"/>
        <w:sz w:val="18"/>
        <w:szCs w:val="18"/>
      </w:rPr>
      <w:fldChar w:fldCharType="end"/>
    </w:r>
  </w:p>
  <w:p w:rsidR="00727A39" w:rsidRDefault="00727A39" w:rsidP="00321AA2">
    <w:pPr>
      <w:pStyle w:val="Footer"/>
      <w:tabs>
        <w:tab w:val="clear" w:pos="8640"/>
        <w:tab w:val="left" w:pos="5100"/>
      </w:tabs>
    </w:pPr>
    <w:r>
      <w:tab/>
    </w:r>
    <w:r w:rsidR="00321AA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39" w:rsidRDefault="00727A39">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364" w:rsidRDefault="00CE7364">
      <w:r>
        <w:separator/>
      </w:r>
    </w:p>
  </w:footnote>
  <w:footnote w:type="continuationSeparator" w:id="0">
    <w:p w:rsidR="00CE7364" w:rsidRDefault="00CE7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9D3"/>
    <w:multiLevelType w:val="hybridMultilevel"/>
    <w:tmpl w:val="B4548624"/>
    <w:lvl w:ilvl="0" w:tplc="466C0F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89429C"/>
    <w:multiLevelType w:val="hybridMultilevel"/>
    <w:tmpl w:val="E398FBE2"/>
    <w:lvl w:ilvl="0" w:tplc="1B362FDE">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
    <w:nsid w:val="08280BB8"/>
    <w:multiLevelType w:val="hybridMultilevel"/>
    <w:tmpl w:val="764A861A"/>
    <w:lvl w:ilvl="0" w:tplc="C046D140">
      <w:start w:val="1"/>
      <w:numFmt w:val="decimal"/>
      <w:lvlText w:val="%1)"/>
      <w:lvlJc w:val="left"/>
      <w:pPr>
        <w:tabs>
          <w:tab w:val="num" w:pos="397"/>
        </w:tabs>
        <w:ind w:left="397" w:hanging="397"/>
      </w:pPr>
      <w:rPr>
        <w:rFonts w:ascii="Bliss 2 Light" w:hAnsi="Bliss 2 Light" w:hint="default"/>
        <w:b/>
        <w:i w:val="0"/>
        <w:sz w:val="24"/>
        <w:szCs w:val="24"/>
      </w:rPr>
    </w:lvl>
    <w:lvl w:ilvl="1" w:tplc="04090001">
      <w:start w:val="1"/>
      <w:numFmt w:val="bullet"/>
      <w:lvlText w:val=""/>
      <w:lvlJc w:val="left"/>
      <w:pPr>
        <w:tabs>
          <w:tab w:val="num" w:pos="1440"/>
        </w:tabs>
        <w:ind w:left="1440" w:hanging="360"/>
      </w:pPr>
      <w:rPr>
        <w:rFonts w:ascii="Symbol" w:hAnsi="Symbol" w:hint="default"/>
        <w:b/>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47422"/>
    <w:multiLevelType w:val="hybridMultilevel"/>
    <w:tmpl w:val="DFEAC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164C19"/>
    <w:multiLevelType w:val="hybridMultilevel"/>
    <w:tmpl w:val="D6C60FB0"/>
    <w:lvl w:ilvl="0" w:tplc="C3D8BA8A">
      <w:start w:val="2"/>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B67468"/>
    <w:multiLevelType w:val="hybridMultilevel"/>
    <w:tmpl w:val="8C2CD95A"/>
    <w:lvl w:ilvl="0" w:tplc="C2188A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0920B4"/>
    <w:multiLevelType w:val="hybridMultilevel"/>
    <w:tmpl w:val="43F4567E"/>
    <w:lvl w:ilvl="0" w:tplc="BF467AEA">
      <w:start w:val="58"/>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FA246C9"/>
    <w:multiLevelType w:val="hybridMultilevel"/>
    <w:tmpl w:val="AF88A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A95E65"/>
    <w:multiLevelType w:val="hybridMultilevel"/>
    <w:tmpl w:val="BDFC009A"/>
    <w:lvl w:ilvl="0" w:tplc="B2A6109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B353B8"/>
    <w:multiLevelType w:val="hybridMultilevel"/>
    <w:tmpl w:val="1B4C8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35A5A52"/>
    <w:multiLevelType w:val="hybridMultilevel"/>
    <w:tmpl w:val="9A4AAB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4D71208"/>
    <w:multiLevelType w:val="hybridMultilevel"/>
    <w:tmpl w:val="08AE7C6E"/>
    <w:lvl w:ilvl="0" w:tplc="F4CE0F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C1C6136"/>
    <w:multiLevelType w:val="hybridMultilevel"/>
    <w:tmpl w:val="1624DC72"/>
    <w:lvl w:ilvl="0" w:tplc="CC406256">
      <w:start w:val="3"/>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nsid w:val="303A59F8"/>
    <w:multiLevelType w:val="hybridMultilevel"/>
    <w:tmpl w:val="A8E4E798"/>
    <w:lvl w:ilvl="0" w:tplc="D0AABA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5F06FA5"/>
    <w:multiLevelType w:val="hybridMultilevel"/>
    <w:tmpl w:val="2A04202C"/>
    <w:lvl w:ilvl="0" w:tplc="3DAA0F3E">
      <w:start w:val="1"/>
      <w:numFmt w:val="decimal"/>
      <w:lvlText w:val="%1)"/>
      <w:lvlJc w:val="left"/>
      <w:pPr>
        <w:tabs>
          <w:tab w:val="num" w:pos="432"/>
        </w:tabs>
        <w:ind w:left="432" w:hanging="360"/>
      </w:pPr>
      <w:rPr>
        <w:rFonts w:hint="default"/>
        <w:b/>
        <w:i w:val="0"/>
        <w:color w:val="auto"/>
      </w:rPr>
    </w:lvl>
    <w:lvl w:ilvl="1" w:tplc="BF467AEA">
      <w:start w:val="58"/>
      <w:numFmt w:val="bullet"/>
      <w:lvlText w:val=""/>
      <w:lvlJc w:val="left"/>
      <w:pPr>
        <w:tabs>
          <w:tab w:val="num" w:pos="1420"/>
        </w:tabs>
        <w:ind w:left="1420" w:hanging="340"/>
      </w:pPr>
      <w:rPr>
        <w:rFonts w:ascii="Symbol" w:hAnsi="Symbol"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71532E"/>
    <w:multiLevelType w:val="hybridMultilevel"/>
    <w:tmpl w:val="BF302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660A60"/>
    <w:multiLevelType w:val="hybridMultilevel"/>
    <w:tmpl w:val="E98C509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nsid w:val="3B1C56C9"/>
    <w:multiLevelType w:val="hybridMultilevel"/>
    <w:tmpl w:val="46C68E62"/>
    <w:lvl w:ilvl="0" w:tplc="85267E7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277A1A"/>
    <w:multiLevelType w:val="hybridMultilevel"/>
    <w:tmpl w:val="A66E685E"/>
    <w:lvl w:ilvl="0" w:tplc="CE96E0EC">
      <w:start w:val="1"/>
      <w:numFmt w:val="decimal"/>
      <w:lvlText w:val="%1)"/>
      <w:lvlJc w:val="left"/>
      <w:pPr>
        <w:tabs>
          <w:tab w:val="num" w:pos="397"/>
        </w:tabs>
        <w:ind w:left="397" w:hanging="397"/>
      </w:pPr>
      <w:rPr>
        <w:rFonts w:ascii="Bliss 2 Light" w:hAnsi="Bliss 2 Light"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762ACF"/>
    <w:multiLevelType w:val="hybridMultilevel"/>
    <w:tmpl w:val="49F6DEF8"/>
    <w:lvl w:ilvl="0" w:tplc="305491FA">
      <w:start w:val="1"/>
      <w:numFmt w:val="decimal"/>
      <w:lvlText w:val="%1)"/>
      <w:lvlJc w:val="left"/>
      <w:pPr>
        <w:tabs>
          <w:tab w:val="num" w:pos="340"/>
        </w:tabs>
        <w:ind w:left="340" w:hanging="340"/>
      </w:pPr>
      <w:rPr>
        <w:rFonts w:ascii="Bliss 2 Light" w:hAnsi="Bliss 2 Light"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C046D140">
      <w:start w:val="1"/>
      <w:numFmt w:val="decimal"/>
      <w:lvlText w:val="%3)"/>
      <w:lvlJc w:val="left"/>
      <w:pPr>
        <w:tabs>
          <w:tab w:val="num" w:pos="2377"/>
        </w:tabs>
        <w:ind w:left="2377" w:hanging="397"/>
      </w:pPr>
      <w:rPr>
        <w:rFonts w:ascii="Bliss 2 Light" w:hAnsi="Bliss 2 Light" w:hint="default"/>
        <w:b/>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F0496"/>
    <w:multiLevelType w:val="hybridMultilevel"/>
    <w:tmpl w:val="2B6E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5D695C"/>
    <w:multiLevelType w:val="hybridMultilevel"/>
    <w:tmpl w:val="7C5C4A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541B474A"/>
    <w:multiLevelType w:val="hybridMultilevel"/>
    <w:tmpl w:val="6084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B924F8"/>
    <w:multiLevelType w:val="hybridMultilevel"/>
    <w:tmpl w:val="1256D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7A7731"/>
    <w:multiLevelType w:val="hybridMultilevel"/>
    <w:tmpl w:val="71BE23F0"/>
    <w:lvl w:ilvl="0" w:tplc="EDF805E4">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3F6B97"/>
    <w:multiLevelType w:val="hybridMultilevel"/>
    <w:tmpl w:val="8FE81984"/>
    <w:lvl w:ilvl="0" w:tplc="241A51D8">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F4A44AD"/>
    <w:multiLevelType w:val="hybridMultilevel"/>
    <w:tmpl w:val="E4CC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992897"/>
    <w:multiLevelType w:val="hybridMultilevel"/>
    <w:tmpl w:val="557CDB2E"/>
    <w:lvl w:ilvl="0" w:tplc="F6F48AE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3C8089B"/>
    <w:multiLevelType w:val="hybridMultilevel"/>
    <w:tmpl w:val="87AEB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A17940"/>
    <w:multiLevelType w:val="hybridMultilevel"/>
    <w:tmpl w:val="8850C6A0"/>
    <w:lvl w:ilvl="0" w:tplc="41F0F5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2"/>
  </w:num>
  <w:num w:numId="3">
    <w:abstractNumId w:val="18"/>
  </w:num>
  <w:num w:numId="4">
    <w:abstractNumId w:val="4"/>
  </w:num>
  <w:num w:numId="5">
    <w:abstractNumId w:val="24"/>
  </w:num>
  <w:num w:numId="6">
    <w:abstractNumId w:val="2"/>
  </w:num>
  <w:num w:numId="7">
    <w:abstractNumId w:val="7"/>
  </w:num>
  <w:num w:numId="8">
    <w:abstractNumId w:val="8"/>
  </w:num>
  <w:num w:numId="9">
    <w:abstractNumId w:val="23"/>
  </w:num>
  <w:num w:numId="10">
    <w:abstractNumId w:val="27"/>
  </w:num>
  <w:num w:numId="11">
    <w:abstractNumId w:val="11"/>
  </w:num>
  <w:num w:numId="12">
    <w:abstractNumId w:val="6"/>
  </w:num>
  <w:num w:numId="13">
    <w:abstractNumId w:val="1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5"/>
  </w:num>
  <w:num w:numId="17">
    <w:abstractNumId w:val="14"/>
  </w:num>
  <w:num w:numId="18">
    <w:abstractNumId w:val="16"/>
  </w:num>
  <w:num w:numId="19">
    <w:abstractNumId w:val="1"/>
  </w:num>
  <w:num w:numId="20">
    <w:abstractNumId w:val="29"/>
  </w:num>
  <w:num w:numId="21">
    <w:abstractNumId w:val="17"/>
  </w:num>
  <w:num w:numId="22">
    <w:abstractNumId w:val="0"/>
  </w:num>
  <w:num w:numId="23">
    <w:abstractNumId w:val="5"/>
  </w:num>
  <w:num w:numId="24">
    <w:abstractNumId w:val="20"/>
  </w:num>
  <w:num w:numId="25">
    <w:abstractNumId w:val="25"/>
  </w:num>
  <w:num w:numId="26">
    <w:abstractNumId w:val="9"/>
  </w:num>
  <w:num w:numId="27">
    <w:abstractNumId w:val="22"/>
  </w:num>
  <w:num w:numId="28">
    <w:abstractNumId w:val="26"/>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5A"/>
    <w:rsid w:val="000015CA"/>
    <w:rsid w:val="0000229B"/>
    <w:rsid w:val="00014B11"/>
    <w:rsid w:val="00022480"/>
    <w:rsid w:val="000266CE"/>
    <w:rsid w:val="00030A42"/>
    <w:rsid w:val="00032421"/>
    <w:rsid w:val="00033CF3"/>
    <w:rsid w:val="00036575"/>
    <w:rsid w:val="000416D4"/>
    <w:rsid w:val="00042AD1"/>
    <w:rsid w:val="000548BC"/>
    <w:rsid w:val="000558CC"/>
    <w:rsid w:val="000738CF"/>
    <w:rsid w:val="0007593B"/>
    <w:rsid w:val="00083191"/>
    <w:rsid w:val="00085109"/>
    <w:rsid w:val="00085871"/>
    <w:rsid w:val="000B110B"/>
    <w:rsid w:val="000B4659"/>
    <w:rsid w:val="000C7CFC"/>
    <w:rsid w:val="000D469E"/>
    <w:rsid w:val="000E5CD2"/>
    <w:rsid w:val="000F32BD"/>
    <w:rsid w:val="000F56B5"/>
    <w:rsid w:val="000F6298"/>
    <w:rsid w:val="00103A6C"/>
    <w:rsid w:val="00124567"/>
    <w:rsid w:val="00126393"/>
    <w:rsid w:val="001324FD"/>
    <w:rsid w:val="001329F6"/>
    <w:rsid w:val="001609A5"/>
    <w:rsid w:val="00161F02"/>
    <w:rsid w:val="001678E8"/>
    <w:rsid w:val="0017078B"/>
    <w:rsid w:val="00173288"/>
    <w:rsid w:val="00173470"/>
    <w:rsid w:val="001739F1"/>
    <w:rsid w:val="00177753"/>
    <w:rsid w:val="00180D06"/>
    <w:rsid w:val="001820CB"/>
    <w:rsid w:val="0019031F"/>
    <w:rsid w:val="001B1E67"/>
    <w:rsid w:val="001B7C61"/>
    <w:rsid w:val="001D08E6"/>
    <w:rsid w:val="001E324E"/>
    <w:rsid w:val="001E661B"/>
    <w:rsid w:val="001F289A"/>
    <w:rsid w:val="00200BAA"/>
    <w:rsid w:val="00200F82"/>
    <w:rsid w:val="00201332"/>
    <w:rsid w:val="002171AC"/>
    <w:rsid w:val="00221366"/>
    <w:rsid w:val="00224C3F"/>
    <w:rsid w:val="00231846"/>
    <w:rsid w:val="00240A5A"/>
    <w:rsid w:val="00242A6C"/>
    <w:rsid w:val="00243CB5"/>
    <w:rsid w:val="002479E5"/>
    <w:rsid w:val="0026184A"/>
    <w:rsid w:val="00261B9A"/>
    <w:rsid w:val="002650A7"/>
    <w:rsid w:val="00265FC0"/>
    <w:rsid w:val="00273A4D"/>
    <w:rsid w:val="00275426"/>
    <w:rsid w:val="00276E85"/>
    <w:rsid w:val="00282CD5"/>
    <w:rsid w:val="00286E09"/>
    <w:rsid w:val="00291CAD"/>
    <w:rsid w:val="002A14A0"/>
    <w:rsid w:val="002A1884"/>
    <w:rsid w:val="002A5FC9"/>
    <w:rsid w:val="002B1384"/>
    <w:rsid w:val="002B327D"/>
    <w:rsid w:val="002B5409"/>
    <w:rsid w:val="002C4433"/>
    <w:rsid w:val="002D04A6"/>
    <w:rsid w:val="002F1004"/>
    <w:rsid w:val="00300EA2"/>
    <w:rsid w:val="00311A24"/>
    <w:rsid w:val="00321AA2"/>
    <w:rsid w:val="003231FA"/>
    <w:rsid w:val="00330FE0"/>
    <w:rsid w:val="00332900"/>
    <w:rsid w:val="00333C0B"/>
    <w:rsid w:val="00355B2B"/>
    <w:rsid w:val="0036698C"/>
    <w:rsid w:val="00366AB3"/>
    <w:rsid w:val="003710B7"/>
    <w:rsid w:val="003723E4"/>
    <w:rsid w:val="00396B7F"/>
    <w:rsid w:val="003974AA"/>
    <w:rsid w:val="003C5359"/>
    <w:rsid w:val="003F763B"/>
    <w:rsid w:val="004029E3"/>
    <w:rsid w:val="00404729"/>
    <w:rsid w:val="00405367"/>
    <w:rsid w:val="0041318E"/>
    <w:rsid w:val="004141CC"/>
    <w:rsid w:val="00424398"/>
    <w:rsid w:val="00445467"/>
    <w:rsid w:val="00461DFC"/>
    <w:rsid w:val="00461FC7"/>
    <w:rsid w:val="004628DE"/>
    <w:rsid w:val="00470EEF"/>
    <w:rsid w:val="004720DE"/>
    <w:rsid w:val="004749E7"/>
    <w:rsid w:val="00476E3F"/>
    <w:rsid w:val="00483FA1"/>
    <w:rsid w:val="0049335A"/>
    <w:rsid w:val="004A0526"/>
    <w:rsid w:val="004A2A95"/>
    <w:rsid w:val="004A7039"/>
    <w:rsid w:val="004B30D5"/>
    <w:rsid w:val="004B3110"/>
    <w:rsid w:val="004B68CA"/>
    <w:rsid w:val="004C6C57"/>
    <w:rsid w:val="004C78CC"/>
    <w:rsid w:val="004D5CAF"/>
    <w:rsid w:val="004F0061"/>
    <w:rsid w:val="004F1670"/>
    <w:rsid w:val="004F332B"/>
    <w:rsid w:val="00502000"/>
    <w:rsid w:val="00506043"/>
    <w:rsid w:val="00507C26"/>
    <w:rsid w:val="005348AC"/>
    <w:rsid w:val="005370C9"/>
    <w:rsid w:val="005372A9"/>
    <w:rsid w:val="00542D6C"/>
    <w:rsid w:val="00564694"/>
    <w:rsid w:val="005744C2"/>
    <w:rsid w:val="00574D92"/>
    <w:rsid w:val="00583C8F"/>
    <w:rsid w:val="00595F0B"/>
    <w:rsid w:val="005A1068"/>
    <w:rsid w:val="005C4F17"/>
    <w:rsid w:val="005C62E8"/>
    <w:rsid w:val="005C74BB"/>
    <w:rsid w:val="005E0CD6"/>
    <w:rsid w:val="005F5981"/>
    <w:rsid w:val="006000E8"/>
    <w:rsid w:val="00605B0A"/>
    <w:rsid w:val="0060710A"/>
    <w:rsid w:val="00612435"/>
    <w:rsid w:val="00622514"/>
    <w:rsid w:val="0063599F"/>
    <w:rsid w:val="00636953"/>
    <w:rsid w:val="00642E91"/>
    <w:rsid w:val="006445C0"/>
    <w:rsid w:val="006507A2"/>
    <w:rsid w:val="00651D8A"/>
    <w:rsid w:val="00653D69"/>
    <w:rsid w:val="00655BE5"/>
    <w:rsid w:val="00656C49"/>
    <w:rsid w:val="006640F5"/>
    <w:rsid w:val="00673A9A"/>
    <w:rsid w:val="00683BDE"/>
    <w:rsid w:val="00685637"/>
    <w:rsid w:val="00691593"/>
    <w:rsid w:val="00691F89"/>
    <w:rsid w:val="006A2D5C"/>
    <w:rsid w:val="006B01B1"/>
    <w:rsid w:val="006C0AD4"/>
    <w:rsid w:val="006C492D"/>
    <w:rsid w:val="006C4962"/>
    <w:rsid w:val="006D00CC"/>
    <w:rsid w:val="006D2F26"/>
    <w:rsid w:val="006D62A7"/>
    <w:rsid w:val="006E2768"/>
    <w:rsid w:val="0070589B"/>
    <w:rsid w:val="00721428"/>
    <w:rsid w:val="00727204"/>
    <w:rsid w:val="00727A39"/>
    <w:rsid w:val="00744E61"/>
    <w:rsid w:val="00762FF9"/>
    <w:rsid w:val="00772259"/>
    <w:rsid w:val="00776D17"/>
    <w:rsid w:val="00781D49"/>
    <w:rsid w:val="00791858"/>
    <w:rsid w:val="00795F05"/>
    <w:rsid w:val="0079622B"/>
    <w:rsid w:val="007967AD"/>
    <w:rsid w:val="007A145A"/>
    <w:rsid w:val="007A63E6"/>
    <w:rsid w:val="007B023F"/>
    <w:rsid w:val="007B1932"/>
    <w:rsid w:val="007B4C61"/>
    <w:rsid w:val="007D0241"/>
    <w:rsid w:val="007D0AD8"/>
    <w:rsid w:val="007D152E"/>
    <w:rsid w:val="007D3670"/>
    <w:rsid w:val="007D72DE"/>
    <w:rsid w:val="007E7C97"/>
    <w:rsid w:val="007F321B"/>
    <w:rsid w:val="0080037E"/>
    <w:rsid w:val="0081668D"/>
    <w:rsid w:val="00822BD2"/>
    <w:rsid w:val="00830AEA"/>
    <w:rsid w:val="00843036"/>
    <w:rsid w:val="00851588"/>
    <w:rsid w:val="008603DB"/>
    <w:rsid w:val="00867D84"/>
    <w:rsid w:val="00867F46"/>
    <w:rsid w:val="00871E85"/>
    <w:rsid w:val="00872F6F"/>
    <w:rsid w:val="00877CA4"/>
    <w:rsid w:val="00877DAD"/>
    <w:rsid w:val="00891D9B"/>
    <w:rsid w:val="008A5562"/>
    <w:rsid w:val="008B1B19"/>
    <w:rsid w:val="008B4BA4"/>
    <w:rsid w:val="008C4983"/>
    <w:rsid w:val="008D2627"/>
    <w:rsid w:val="008D492C"/>
    <w:rsid w:val="008F0133"/>
    <w:rsid w:val="0090184B"/>
    <w:rsid w:val="009219FE"/>
    <w:rsid w:val="0092511E"/>
    <w:rsid w:val="00926118"/>
    <w:rsid w:val="00926AE8"/>
    <w:rsid w:val="00955BFB"/>
    <w:rsid w:val="00957699"/>
    <w:rsid w:val="00961A94"/>
    <w:rsid w:val="0097260D"/>
    <w:rsid w:val="0097623B"/>
    <w:rsid w:val="009859DF"/>
    <w:rsid w:val="00987331"/>
    <w:rsid w:val="00992027"/>
    <w:rsid w:val="00992CB1"/>
    <w:rsid w:val="00996F3B"/>
    <w:rsid w:val="009A3D88"/>
    <w:rsid w:val="009A5393"/>
    <w:rsid w:val="009B32D5"/>
    <w:rsid w:val="009C1862"/>
    <w:rsid w:val="009E29E0"/>
    <w:rsid w:val="009E4889"/>
    <w:rsid w:val="009E7517"/>
    <w:rsid w:val="009F32BD"/>
    <w:rsid w:val="00A02B5C"/>
    <w:rsid w:val="00A13C84"/>
    <w:rsid w:val="00A20784"/>
    <w:rsid w:val="00A20BB3"/>
    <w:rsid w:val="00A217B2"/>
    <w:rsid w:val="00A30685"/>
    <w:rsid w:val="00A330CA"/>
    <w:rsid w:val="00A34669"/>
    <w:rsid w:val="00A3488E"/>
    <w:rsid w:val="00A50F58"/>
    <w:rsid w:val="00A52F87"/>
    <w:rsid w:val="00A555BB"/>
    <w:rsid w:val="00A55740"/>
    <w:rsid w:val="00A574E4"/>
    <w:rsid w:val="00A7387F"/>
    <w:rsid w:val="00A83E61"/>
    <w:rsid w:val="00A936F8"/>
    <w:rsid w:val="00A95748"/>
    <w:rsid w:val="00A97D44"/>
    <w:rsid w:val="00AA5455"/>
    <w:rsid w:val="00AC7E5A"/>
    <w:rsid w:val="00AD486A"/>
    <w:rsid w:val="00AD6828"/>
    <w:rsid w:val="00AD7D40"/>
    <w:rsid w:val="00AE312F"/>
    <w:rsid w:val="00AE5AAF"/>
    <w:rsid w:val="00AF083D"/>
    <w:rsid w:val="00AF13BD"/>
    <w:rsid w:val="00B10B99"/>
    <w:rsid w:val="00B15BBA"/>
    <w:rsid w:val="00B179FE"/>
    <w:rsid w:val="00B201CC"/>
    <w:rsid w:val="00B22E17"/>
    <w:rsid w:val="00B23ED0"/>
    <w:rsid w:val="00B250D1"/>
    <w:rsid w:val="00B2723C"/>
    <w:rsid w:val="00B301DE"/>
    <w:rsid w:val="00B359F8"/>
    <w:rsid w:val="00B36E0C"/>
    <w:rsid w:val="00B37465"/>
    <w:rsid w:val="00B41B3C"/>
    <w:rsid w:val="00B41F14"/>
    <w:rsid w:val="00B42C4B"/>
    <w:rsid w:val="00B50E6C"/>
    <w:rsid w:val="00B60A0F"/>
    <w:rsid w:val="00B60AC5"/>
    <w:rsid w:val="00B66673"/>
    <w:rsid w:val="00B749B2"/>
    <w:rsid w:val="00B75D26"/>
    <w:rsid w:val="00B76C79"/>
    <w:rsid w:val="00B826BA"/>
    <w:rsid w:val="00B83465"/>
    <w:rsid w:val="00B9553E"/>
    <w:rsid w:val="00B968FB"/>
    <w:rsid w:val="00BA3377"/>
    <w:rsid w:val="00BB4FC4"/>
    <w:rsid w:val="00BB5E3B"/>
    <w:rsid w:val="00BD448F"/>
    <w:rsid w:val="00BD68E0"/>
    <w:rsid w:val="00BE3C46"/>
    <w:rsid w:val="00BE5DDB"/>
    <w:rsid w:val="00BF7295"/>
    <w:rsid w:val="00C13214"/>
    <w:rsid w:val="00C1467F"/>
    <w:rsid w:val="00C25BD9"/>
    <w:rsid w:val="00C31CC5"/>
    <w:rsid w:val="00C34BE8"/>
    <w:rsid w:val="00C36C17"/>
    <w:rsid w:val="00C507EB"/>
    <w:rsid w:val="00C52047"/>
    <w:rsid w:val="00C66448"/>
    <w:rsid w:val="00C67AAC"/>
    <w:rsid w:val="00C71532"/>
    <w:rsid w:val="00C74824"/>
    <w:rsid w:val="00C81CF5"/>
    <w:rsid w:val="00C94236"/>
    <w:rsid w:val="00CA3C3A"/>
    <w:rsid w:val="00CA64E2"/>
    <w:rsid w:val="00CB36B5"/>
    <w:rsid w:val="00CC3F68"/>
    <w:rsid w:val="00CC48EE"/>
    <w:rsid w:val="00CC688E"/>
    <w:rsid w:val="00CD16CB"/>
    <w:rsid w:val="00CE668E"/>
    <w:rsid w:val="00CE7364"/>
    <w:rsid w:val="00CF1713"/>
    <w:rsid w:val="00D000D9"/>
    <w:rsid w:val="00D03871"/>
    <w:rsid w:val="00D067F9"/>
    <w:rsid w:val="00D15A59"/>
    <w:rsid w:val="00D16D06"/>
    <w:rsid w:val="00D17C53"/>
    <w:rsid w:val="00D262C2"/>
    <w:rsid w:val="00D555DC"/>
    <w:rsid w:val="00D609BB"/>
    <w:rsid w:val="00D621D4"/>
    <w:rsid w:val="00D728E5"/>
    <w:rsid w:val="00D75B3C"/>
    <w:rsid w:val="00D80A85"/>
    <w:rsid w:val="00D8570A"/>
    <w:rsid w:val="00DB1D42"/>
    <w:rsid w:val="00DC0EE4"/>
    <w:rsid w:val="00DC1D38"/>
    <w:rsid w:val="00DC2E13"/>
    <w:rsid w:val="00DD4609"/>
    <w:rsid w:val="00DD5622"/>
    <w:rsid w:val="00DD676A"/>
    <w:rsid w:val="00DD7972"/>
    <w:rsid w:val="00DE11CA"/>
    <w:rsid w:val="00DE5657"/>
    <w:rsid w:val="00DE68AC"/>
    <w:rsid w:val="00DE6C80"/>
    <w:rsid w:val="00DF2D01"/>
    <w:rsid w:val="00E00BA8"/>
    <w:rsid w:val="00E02915"/>
    <w:rsid w:val="00E12263"/>
    <w:rsid w:val="00E22B2D"/>
    <w:rsid w:val="00E231FA"/>
    <w:rsid w:val="00E46BF7"/>
    <w:rsid w:val="00E65D64"/>
    <w:rsid w:val="00E675A3"/>
    <w:rsid w:val="00E73E75"/>
    <w:rsid w:val="00E83042"/>
    <w:rsid w:val="00E85C6F"/>
    <w:rsid w:val="00E91F91"/>
    <w:rsid w:val="00E920FC"/>
    <w:rsid w:val="00E928CC"/>
    <w:rsid w:val="00E973E1"/>
    <w:rsid w:val="00EA0525"/>
    <w:rsid w:val="00EA3BBD"/>
    <w:rsid w:val="00EA422F"/>
    <w:rsid w:val="00EA5D1D"/>
    <w:rsid w:val="00EC4610"/>
    <w:rsid w:val="00EC7DD1"/>
    <w:rsid w:val="00ED6F5E"/>
    <w:rsid w:val="00ED7D10"/>
    <w:rsid w:val="00EE6A82"/>
    <w:rsid w:val="00EE6C86"/>
    <w:rsid w:val="00EF46DF"/>
    <w:rsid w:val="00EF569C"/>
    <w:rsid w:val="00F0290C"/>
    <w:rsid w:val="00F06E4D"/>
    <w:rsid w:val="00F136D0"/>
    <w:rsid w:val="00F15254"/>
    <w:rsid w:val="00F328DF"/>
    <w:rsid w:val="00F34836"/>
    <w:rsid w:val="00F35E27"/>
    <w:rsid w:val="00F4280C"/>
    <w:rsid w:val="00F432E5"/>
    <w:rsid w:val="00F63E79"/>
    <w:rsid w:val="00F66FA9"/>
    <w:rsid w:val="00F728F9"/>
    <w:rsid w:val="00F81BAB"/>
    <w:rsid w:val="00F81E5B"/>
    <w:rsid w:val="00F8416E"/>
    <w:rsid w:val="00F869EF"/>
    <w:rsid w:val="00FA10D6"/>
    <w:rsid w:val="00FA37CC"/>
    <w:rsid w:val="00FA730E"/>
    <w:rsid w:val="00FB3B99"/>
    <w:rsid w:val="00FC5B81"/>
    <w:rsid w:val="00FD256B"/>
    <w:rsid w:val="00FD44F1"/>
    <w:rsid w:val="00FD4BFE"/>
    <w:rsid w:val="00FD7786"/>
    <w:rsid w:val="00FF0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A5A"/>
    <w:rPr>
      <w:rFonts w:ascii="Bliss 2 Light" w:hAnsi="Bliss 2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58CC"/>
    <w:rPr>
      <w:color w:val="0000FF"/>
      <w:u w:val="single"/>
    </w:rPr>
  </w:style>
  <w:style w:type="paragraph" w:styleId="BalloonText">
    <w:name w:val="Balloon Text"/>
    <w:basedOn w:val="Normal"/>
    <w:semiHidden/>
    <w:rsid w:val="003231FA"/>
    <w:rPr>
      <w:rFonts w:ascii="Tahoma" w:hAnsi="Tahoma" w:cs="Tahoma"/>
      <w:sz w:val="16"/>
      <w:szCs w:val="16"/>
    </w:rPr>
  </w:style>
  <w:style w:type="paragraph" w:styleId="Header">
    <w:name w:val="header"/>
    <w:basedOn w:val="Normal"/>
    <w:rsid w:val="003231FA"/>
    <w:pPr>
      <w:tabs>
        <w:tab w:val="center" w:pos="4320"/>
        <w:tab w:val="right" w:pos="8640"/>
      </w:tabs>
    </w:pPr>
  </w:style>
  <w:style w:type="paragraph" w:styleId="Footer">
    <w:name w:val="footer"/>
    <w:basedOn w:val="Normal"/>
    <w:rsid w:val="003231FA"/>
    <w:pPr>
      <w:tabs>
        <w:tab w:val="center" w:pos="4320"/>
        <w:tab w:val="right" w:pos="8640"/>
      </w:tabs>
    </w:pPr>
  </w:style>
  <w:style w:type="character" w:styleId="FollowedHyperlink">
    <w:name w:val="FollowedHyperlink"/>
    <w:rsid w:val="00FD44F1"/>
    <w:rPr>
      <w:color w:val="800080"/>
      <w:u w:val="single"/>
    </w:rPr>
  </w:style>
  <w:style w:type="character" w:styleId="PageNumber">
    <w:name w:val="page number"/>
    <w:basedOn w:val="DefaultParagraphFont"/>
    <w:rsid w:val="00E928CC"/>
  </w:style>
  <w:style w:type="paragraph" w:styleId="NormalWeb">
    <w:name w:val="Normal (Web)"/>
    <w:basedOn w:val="Normal"/>
    <w:rsid w:val="00CA64E2"/>
    <w:pPr>
      <w:spacing w:before="100" w:beforeAutospacing="1" w:after="100" w:afterAutospacing="1"/>
    </w:pPr>
    <w:rPr>
      <w:rFonts w:ascii="Times New Roman" w:hAnsi="Times New Roman"/>
      <w:lang w:val="en-US"/>
    </w:rPr>
  </w:style>
  <w:style w:type="table" w:styleId="TableGrid">
    <w:name w:val="Table Grid"/>
    <w:basedOn w:val="TableNormal"/>
    <w:rsid w:val="00173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828"/>
    <w:pPr>
      <w:ind w:left="720"/>
    </w:pPr>
  </w:style>
  <w:style w:type="paragraph" w:customStyle="1" w:styleId="Default">
    <w:name w:val="Default"/>
    <w:rsid w:val="00470EEF"/>
    <w:pPr>
      <w:autoSpaceDE w:val="0"/>
      <w:autoSpaceDN w:val="0"/>
      <w:adjustRightInd w:val="0"/>
    </w:pPr>
    <w:rPr>
      <w:rFonts w:ascii="HITVYR+ArialMT" w:hAnsi="HITVYR+ArialMT" w:cs="HITVYR+ArialMT"/>
      <w:color w:val="000000"/>
      <w:sz w:val="24"/>
      <w:szCs w:val="24"/>
    </w:rPr>
  </w:style>
  <w:style w:type="paragraph" w:customStyle="1" w:styleId="CM40">
    <w:name w:val="CM40"/>
    <w:basedOn w:val="Default"/>
    <w:next w:val="Default"/>
    <w:uiPriority w:val="99"/>
    <w:rsid w:val="00470EEF"/>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A5A"/>
    <w:rPr>
      <w:rFonts w:ascii="Bliss 2 Light" w:hAnsi="Bliss 2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58CC"/>
    <w:rPr>
      <w:color w:val="0000FF"/>
      <w:u w:val="single"/>
    </w:rPr>
  </w:style>
  <w:style w:type="paragraph" w:styleId="BalloonText">
    <w:name w:val="Balloon Text"/>
    <w:basedOn w:val="Normal"/>
    <w:semiHidden/>
    <w:rsid w:val="003231FA"/>
    <w:rPr>
      <w:rFonts w:ascii="Tahoma" w:hAnsi="Tahoma" w:cs="Tahoma"/>
      <w:sz w:val="16"/>
      <w:szCs w:val="16"/>
    </w:rPr>
  </w:style>
  <w:style w:type="paragraph" w:styleId="Header">
    <w:name w:val="header"/>
    <w:basedOn w:val="Normal"/>
    <w:rsid w:val="003231FA"/>
    <w:pPr>
      <w:tabs>
        <w:tab w:val="center" w:pos="4320"/>
        <w:tab w:val="right" w:pos="8640"/>
      </w:tabs>
    </w:pPr>
  </w:style>
  <w:style w:type="paragraph" w:styleId="Footer">
    <w:name w:val="footer"/>
    <w:basedOn w:val="Normal"/>
    <w:rsid w:val="003231FA"/>
    <w:pPr>
      <w:tabs>
        <w:tab w:val="center" w:pos="4320"/>
        <w:tab w:val="right" w:pos="8640"/>
      </w:tabs>
    </w:pPr>
  </w:style>
  <w:style w:type="character" w:styleId="FollowedHyperlink">
    <w:name w:val="FollowedHyperlink"/>
    <w:rsid w:val="00FD44F1"/>
    <w:rPr>
      <w:color w:val="800080"/>
      <w:u w:val="single"/>
    </w:rPr>
  </w:style>
  <w:style w:type="character" w:styleId="PageNumber">
    <w:name w:val="page number"/>
    <w:basedOn w:val="DefaultParagraphFont"/>
    <w:rsid w:val="00E928CC"/>
  </w:style>
  <w:style w:type="paragraph" w:styleId="NormalWeb">
    <w:name w:val="Normal (Web)"/>
    <w:basedOn w:val="Normal"/>
    <w:rsid w:val="00CA64E2"/>
    <w:pPr>
      <w:spacing w:before="100" w:beforeAutospacing="1" w:after="100" w:afterAutospacing="1"/>
    </w:pPr>
    <w:rPr>
      <w:rFonts w:ascii="Times New Roman" w:hAnsi="Times New Roman"/>
      <w:lang w:val="en-US"/>
    </w:rPr>
  </w:style>
  <w:style w:type="table" w:styleId="TableGrid">
    <w:name w:val="Table Grid"/>
    <w:basedOn w:val="TableNormal"/>
    <w:rsid w:val="00173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828"/>
    <w:pPr>
      <w:ind w:left="720"/>
    </w:pPr>
  </w:style>
  <w:style w:type="paragraph" w:customStyle="1" w:styleId="Default">
    <w:name w:val="Default"/>
    <w:rsid w:val="00470EEF"/>
    <w:pPr>
      <w:autoSpaceDE w:val="0"/>
      <w:autoSpaceDN w:val="0"/>
      <w:adjustRightInd w:val="0"/>
    </w:pPr>
    <w:rPr>
      <w:rFonts w:ascii="HITVYR+ArialMT" w:hAnsi="HITVYR+ArialMT" w:cs="HITVYR+ArialMT"/>
      <w:color w:val="000000"/>
      <w:sz w:val="24"/>
      <w:szCs w:val="24"/>
    </w:rPr>
  </w:style>
  <w:style w:type="paragraph" w:customStyle="1" w:styleId="CM40">
    <w:name w:val="CM40"/>
    <w:basedOn w:val="Default"/>
    <w:next w:val="Default"/>
    <w:uiPriority w:val="99"/>
    <w:rsid w:val="00470EEF"/>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834">
      <w:bodyDiv w:val="1"/>
      <w:marLeft w:val="0"/>
      <w:marRight w:val="0"/>
      <w:marTop w:val="0"/>
      <w:marBottom w:val="0"/>
      <w:divBdr>
        <w:top w:val="none" w:sz="0" w:space="0" w:color="auto"/>
        <w:left w:val="none" w:sz="0" w:space="0" w:color="auto"/>
        <w:bottom w:val="none" w:sz="0" w:space="0" w:color="auto"/>
        <w:right w:val="none" w:sz="0" w:space="0" w:color="auto"/>
      </w:divBdr>
    </w:div>
    <w:div w:id="189489297">
      <w:bodyDiv w:val="1"/>
      <w:marLeft w:val="0"/>
      <w:marRight w:val="0"/>
      <w:marTop w:val="0"/>
      <w:marBottom w:val="0"/>
      <w:divBdr>
        <w:top w:val="none" w:sz="0" w:space="0" w:color="auto"/>
        <w:left w:val="none" w:sz="0" w:space="0" w:color="auto"/>
        <w:bottom w:val="none" w:sz="0" w:space="0" w:color="auto"/>
        <w:right w:val="none" w:sz="0" w:space="0" w:color="auto"/>
      </w:divBdr>
    </w:div>
    <w:div w:id="257183576">
      <w:bodyDiv w:val="1"/>
      <w:marLeft w:val="0"/>
      <w:marRight w:val="0"/>
      <w:marTop w:val="0"/>
      <w:marBottom w:val="0"/>
      <w:divBdr>
        <w:top w:val="none" w:sz="0" w:space="0" w:color="auto"/>
        <w:left w:val="none" w:sz="0" w:space="0" w:color="auto"/>
        <w:bottom w:val="none" w:sz="0" w:space="0" w:color="auto"/>
        <w:right w:val="none" w:sz="0" w:space="0" w:color="auto"/>
      </w:divBdr>
    </w:div>
    <w:div w:id="288246988">
      <w:bodyDiv w:val="1"/>
      <w:marLeft w:val="0"/>
      <w:marRight w:val="0"/>
      <w:marTop w:val="0"/>
      <w:marBottom w:val="0"/>
      <w:divBdr>
        <w:top w:val="none" w:sz="0" w:space="0" w:color="auto"/>
        <w:left w:val="none" w:sz="0" w:space="0" w:color="auto"/>
        <w:bottom w:val="none" w:sz="0" w:space="0" w:color="auto"/>
        <w:right w:val="none" w:sz="0" w:space="0" w:color="auto"/>
      </w:divBdr>
    </w:div>
    <w:div w:id="626358867">
      <w:bodyDiv w:val="1"/>
      <w:marLeft w:val="0"/>
      <w:marRight w:val="0"/>
      <w:marTop w:val="0"/>
      <w:marBottom w:val="0"/>
      <w:divBdr>
        <w:top w:val="none" w:sz="0" w:space="0" w:color="auto"/>
        <w:left w:val="none" w:sz="0" w:space="0" w:color="auto"/>
        <w:bottom w:val="none" w:sz="0" w:space="0" w:color="auto"/>
        <w:right w:val="none" w:sz="0" w:space="0" w:color="auto"/>
      </w:divBdr>
    </w:div>
    <w:div w:id="664431422">
      <w:bodyDiv w:val="1"/>
      <w:marLeft w:val="0"/>
      <w:marRight w:val="0"/>
      <w:marTop w:val="0"/>
      <w:marBottom w:val="0"/>
      <w:divBdr>
        <w:top w:val="none" w:sz="0" w:space="0" w:color="auto"/>
        <w:left w:val="none" w:sz="0" w:space="0" w:color="auto"/>
        <w:bottom w:val="none" w:sz="0" w:space="0" w:color="auto"/>
        <w:right w:val="none" w:sz="0" w:space="0" w:color="auto"/>
      </w:divBdr>
    </w:div>
    <w:div w:id="14209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ma.org.uk/working-for-change/negotiating-for-the-profession/bma-general-practitioners-committee/surveys/ccgs-one-year-on"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06638/FluPlan2014_accessible.pdf"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qc.org.uk" TargetMode="Externa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1E988-8A52-4AFA-9646-A7C8A3A4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Surrey and Sussex LMCs</Company>
  <LinksUpToDate>false</LinksUpToDate>
  <CharactersWithSpaces>11591</CharactersWithSpaces>
  <SharedDoc>false</SharedDoc>
  <HLinks>
    <vt:vector size="18" baseType="variant">
      <vt:variant>
        <vt:i4>524302</vt:i4>
      </vt:variant>
      <vt:variant>
        <vt:i4>6</vt:i4>
      </vt:variant>
      <vt:variant>
        <vt:i4>0</vt:i4>
      </vt:variant>
      <vt:variant>
        <vt:i4>5</vt:i4>
      </vt:variant>
      <vt:variant>
        <vt:lpwstr>https://www.gov.uk/government/uploads/system/uploads/attachment_data/file/306638/FluPlan2014_accessible.pdf</vt:lpwstr>
      </vt:variant>
      <vt:variant>
        <vt:lpwstr/>
      </vt:variant>
      <vt:variant>
        <vt:i4>7929912</vt:i4>
      </vt:variant>
      <vt:variant>
        <vt:i4>3</vt:i4>
      </vt:variant>
      <vt:variant>
        <vt:i4>0</vt:i4>
      </vt:variant>
      <vt:variant>
        <vt:i4>5</vt:i4>
      </vt:variant>
      <vt:variant>
        <vt:lpwstr>http://www.cqc.org.uk/</vt:lpwstr>
      </vt:variant>
      <vt:variant>
        <vt:lpwstr/>
      </vt:variant>
      <vt:variant>
        <vt:i4>1048671</vt:i4>
      </vt:variant>
      <vt:variant>
        <vt:i4>2208</vt:i4>
      </vt:variant>
      <vt:variant>
        <vt:i4>1025</vt:i4>
      </vt:variant>
      <vt:variant>
        <vt:i4>1</vt:i4>
      </vt:variant>
      <vt:variant>
        <vt:lpwstr>C:\Documents and Settings\Liz.SERVER1\Local Settings\Temporary Internet Files\Marketing\Logo.jpg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cp:lastPrinted>2014-06-04T12:41:00Z</cp:lastPrinted>
  <dcterms:created xsi:type="dcterms:W3CDTF">2016-12-12T14:35:00Z</dcterms:created>
  <dcterms:modified xsi:type="dcterms:W3CDTF">2016-12-12T14:35:00Z</dcterms:modified>
</cp:coreProperties>
</file>