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9B" w:rsidRPr="0005399B" w:rsidRDefault="0005399B" w:rsidP="0005399B">
      <w:pPr>
        <w:ind w:left="397"/>
        <w:jc w:val="both"/>
        <w:rPr>
          <w:rFonts w:ascii="Arial" w:hAnsi="Arial" w:cs="Arial"/>
          <w:sz w:val="22"/>
          <w:szCs w:val="22"/>
        </w:rPr>
      </w:pPr>
    </w:p>
    <w:tbl>
      <w:tblPr>
        <w:tblW w:w="988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00" w:firstRow="0" w:lastRow="0" w:firstColumn="0" w:lastColumn="0" w:noHBand="0" w:noVBand="0"/>
      </w:tblPr>
      <w:tblGrid>
        <w:gridCol w:w="5495"/>
        <w:gridCol w:w="1417"/>
        <w:gridCol w:w="2977"/>
      </w:tblGrid>
      <w:tr w:rsidR="00D2136E" w:rsidRPr="005B1876" w:rsidTr="00D2136E">
        <w:trPr>
          <w:trHeight w:val="1213"/>
        </w:trPr>
        <w:tc>
          <w:tcPr>
            <w:tcW w:w="5495" w:type="dxa"/>
            <w:tcBorders>
              <w:top w:val="single" w:sz="4" w:space="0" w:color="auto"/>
              <w:left w:val="single" w:sz="4" w:space="0" w:color="auto"/>
              <w:bottom w:val="single" w:sz="4" w:space="0" w:color="auto"/>
              <w:right w:val="single" w:sz="4" w:space="0" w:color="auto"/>
            </w:tcBorders>
          </w:tcPr>
          <w:p w:rsidR="00D2136E" w:rsidRPr="005B1876" w:rsidRDefault="00D2136E" w:rsidP="005B1876">
            <w:pPr>
              <w:spacing w:after="120"/>
              <w:ind w:right="107"/>
              <w:jc w:val="both"/>
              <w:rPr>
                <w:rFonts w:ascii="Gill Sans MT" w:hAnsi="Gill Sans MT"/>
                <w:sz w:val="16"/>
                <w:szCs w:val="18"/>
              </w:rPr>
            </w:pPr>
          </w:p>
          <w:p w:rsidR="00D2136E" w:rsidRDefault="00D2136E" w:rsidP="00D2136E">
            <w:pPr>
              <w:keepNext/>
              <w:ind w:right="-108"/>
              <w:jc w:val="center"/>
              <w:outlineLvl w:val="6"/>
              <w:rPr>
                <w:rFonts w:ascii="Gill Sans MT" w:hAnsi="Gill Sans MT"/>
                <w:b/>
                <w:sz w:val="56"/>
                <w:szCs w:val="56"/>
              </w:rPr>
            </w:pPr>
            <w:r>
              <w:rPr>
                <w:rFonts w:ascii="Gill Sans MT" w:hAnsi="Gill Sans MT"/>
                <w:b/>
                <w:sz w:val="56"/>
                <w:szCs w:val="56"/>
              </w:rPr>
              <w:t>Chief Executive’s</w:t>
            </w:r>
          </w:p>
          <w:p w:rsidR="00D2136E" w:rsidRPr="005B1876" w:rsidRDefault="00D2136E" w:rsidP="00D2136E">
            <w:pPr>
              <w:keepNext/>
              <w:ind w:right="-108"/>
              <w:jc w:val="center"/>
              <w:outlineLvl w:val="6"/>
              <w:rPr>
                <w:rFonts w:ascii="Gill Sans" w:hAnsi="Gill Sans"/>
                <w:b/>
                <w:i/>
                <w:sz w:val="22"/>
                <w:szCs w:val="22"/>
              </w:rPr>
            </w:pPr>
            <w:r>
              <w:rPr>
                <w:rFonts w:ascii="Gill Sans MT" w:hAnsi="Gill Sans MT"/>
                <w:b/>
                <w:sz w:val="56"/>
                <w:szCs w:val="56"/>
              </w:rPr>
              <w:t>Report</w:t>
            </w:r>
          </w:p>
        </w:tc>
        <w:tc>
          <w:tcPr>
            <w:tcW w:w="1417" w:type="dxa"/>
            <w:tcBorders>
              <w:top w:val="single" w:sz="4" w:space="0" w:color="auto"/>
              <w:left w:val="single" w:sz="4" w:space="0" w:color="auto"/>
              <w:bottom w:val="single" w:sz="4" w:space="0" w:color="auto"/>
              <w:right w:val="single" w:sz="4" w:space="0" w:color="auto"/>
            </w:tcBorders>
          </w:tcPr>
          <w:p w:rsidR="00D2136E" w:rsidRPr="005B1876" w:rsidRDefault="00D2136E" w:rsidP="005B1876">
            <w:pPr>
              <w:ind w:right="-108"/>
              <w:jc w:val="both"/>
              <w:rPr>
                <w:rFonts w:ascii="Gill Sans MT" w:hAnsi="Gill Sans MT"/>
                <w:sz w:val="18"/>
                <w:szCs w:val="18"/>
              </w:rPr>
            </w:pPr>
          </w:p>
          <w:p w:rsidR="00D2136E" w:rsidRPr="005B1876" w:rsidRDefault="00D2136E" w:rsidP="005B1876">
            <w:pPr>
              <w:ind w:right="-108"/>
              <w:jc w:val="both"/>
              <w:rPr>
                <w:rFonts w:ascii="Gill Sans MT" w:hAnsi="Gill Sans MT"/>
                <w:sz w:val="18"/>
                <w:szCs w:val="18"/>
              </w:rPr>
            </w:pPr>
          </w:p>
          <w:p w:rsidR="00D2136E" w:rsidRPr="005B1876" w:rsidRDefault="00D2136E" w:rsidP="005B1876">
            <w:pPr>
              <w:ind w:right="-108"/>
              <w:jc w:val="both"/>
              <w:rPr>
                <w:rFonts w:ascii="Gill Sans MT" w:hAnsi="Gill Sans MT"/>
                <w:sz w:val="18"/>
                <w:szCs w:val="18"/>
              </w:rPr>
            </w:pPr>
          </w:p>
          <w:p w:rsidR="00D2136E" w:rsidRPr="005B1876" w:rsidRDefault="00D2136E" w:rsidP="005B1876">
            <w:pPr>
              <w:ind w:right="-108"/>
              <w:jc w:val="both"/>
              <w:rPr>
                <w:rFonts w:ascii="Gill Sans MT" w:hAnsi="Gill Sans MT"/>
                <w:sz w:val="18"/>
                <w:szCs w:val="18"/>
              </w:rPr>
            </w:pPr>
          </w:p>
          <w:p w:rsidR="00D2136E" w:rsidRPr="005B1876" w:rsidRDefault="00D2136E" w:rsidP="005B1876">
            <w:pPr>
              <w:ind w:right="-108"/>
              <w:jc w:val="both"/>
              <w:rPr>
                <w:rFonts w:ascii="Gill Sans MT" w:hAnsi="Gill Sans MT"/>
                <w:sz w:val="18"/>
                <w:szCs w:val="18"/>
              </w:rPr>
            </w:pPr>
          </w:p>
          <w:p w:rsidR="00D2136E" w:rsidRPr="005B1876" w:rsidRDefault="003F5FC7" w:rsidP="005B1876">
            <w:pPr>
              <w:ind w:right="-108"/>
              <w:jc w:val="both"/>
              <w:rPr>
                <w:rFonts w:ascii="Gill Sans MT" w:hAnsi="Gill Sans MT"/>
                <w:sz w:val="18"/>
                <w:szCs w:val="18"/>
              </w:rPr>
            </w:pPr>
            <w:r>
              <w:rPr>
                <w:rFonts w:ascii="Gill Sans MT" w:hAnsi="Gill Sans MT"/>
                <w:sz w:val="18"/>
                <w:szCs w:val="18"/>
              </w:rPr>
              <w:t>2014</w:t>
            </w:r>
            <w:r w:rsidR="008521E0">
              <w:rPr>
                <w:rFonts w:ascii="Gill Sans MT" w:hAnsi="Gill Sans MT"/>
                <w:sz w:val="18"/>
                <w:szCs w:val="18"/>
              </w:rPr>
              <w:t>/02</w:t>
            </w:r>
          </w:p>
          <w:p w:rsidR="00D2136E" w:rsidRPr="005B1876" w:rsidRDefault="008521E0" w:rsidP="008521E0">
            <w:pPr>
              <w:ind w:right="-108"/>
              <w:jc w:val="both"/>
              <w:rPr>
                <w:rFonts w:ascii="Gill Sans" w:hAnsi="Gill Sans"/>
                <w:b/>
                <w:i/>
                <w:sz w:val="22"/>
                <w:szCs w:val="22"/>
              </w:rPr>
            </w:pPr>
            <w:r>
              <w:rPr>
                <w:rFonts w:ascii="Gill Sans MT" w:hAnsi="Gill Sans MT"/>
                <w:sz w:val="18"/>
                <w:szCs w:val="18"/>
              </w:rPr>
              <w:t>Mar/April</w:t>
            </w:r>
            <w:r w:rsidR="00D2136E" w:rsidRPr="005B1876">
              <w:rPr>
                <w:rFonts w:ascii="Gill Sans MT" w:hAnsi="Gill Sans MT"/>
                <w:sz w:val="18"/>
                <w:szCs w:val="18"/>
              </w:rPr>
              <w:t xml:space="preserve"> 201</w:t>
            </w:r>
            <w:r w:rsidR="003F5FC7">
              <w:rPr>
                <w:rFonts w:ascii="Gill Sans MT" w:hAnsi="Gill Sans MT"/>
                <w:sz w:val="18"/>
                <w:szCs w:val="18"/>
              </w:rPr>
              <w:t>4</w:t>
            </w:r>
            <w:r w:rsidR="00D2136E" w:rsidRPr="005B1876">
              <w:rPr>
                <w:rFonts w:ascii="Gill Sans MT" w:hAnsi="Gill Sans MT"/>
                <w:sz w:val="18"/>
                <w:szCs w:val="18"/>
              </w:rPr>
              <w:t xml:space="preserve">         </w:t>
            </w:r>
            <w:r w:rsidR="00D2136E" w:rsidRPr="005B1876">
              <w:rPr>
                <w:rFonts w:ascii="Gill Sans MT" w:hAnsi="Gill Sans MT"/>
                <w:sz w:val="56"/>
                <w:szCs w:val="56"/>
              </w:rPr>
              <w:t xml:space="preserve"> </w:t>
            </w:r>
          </w:p>
        </w:tc>
        <w:tc>
          <w:tcPr>
            <w:tcW w:w="2977" w:type="dxa"/>
            <w:tcBorders>
              <w:top w:val="single" w:sz="4" w:space="0" w:color="auto"/>
              <w:left w:val="single" w:sz="4" w:space="0" w:color="auto"/>
              <w:bottom w:val="single" w:sz="4" w:space="0" w:color="auto"/>
              <w:right w:val="single" w:sz="4" w:space="0" w:color="auto"/>
            </w:tcBorders>
          </w:tcPr>
          <w:p w:rsidR="00D2136E" w:rsidRPr="005B1876" w:rsidRDefault="00D2136E" w:rsidP="005B1876">
            <w:pPr>
              <w:spacing w:after="120"/>
              <w:ind w:right="107"/>
              <w:jc w:val="both"/>
              <w:rPr>
                <w:rFonts w:ascii="Gill Sans" w:hAnsi="Gill Sans"/>
                <w:b/>
                <w:i/>
                <w:sz w:val="22"/>
                <w:szCs w:val="22"/>
              </w:rPr>
            </w:pPr>
            <w:r w:rsidRPr="005B1876">
              <w:rPr>
                <w:rFonts w:ascii="Century Gothic" w:hAnsi="Century Gothic"/>
                <w:noProof/>
                <w:lang w:eastAsia="en-GB"/>
              </w:rPr>
              <w:drawing>
                <wp:inline distT="0" distB="0" distL="0" distR="0" wp14:anchorId="14491A40" wp14:editId="5380B515">
                  <wp:extent cx="1811547" cy="989956"/>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726" cy="990600"/>
                          </a:xfrm>
                          <a:prstGeom prst="rect">
                            <a:avLst/>
                          </a:prstGeom>
                          <a:noFill/>
                          <a:ln>
                            <a:noFill/>
                          </a:ln>
                        </pic:spPr>
                      </pic:pic>
                    </a:graphicData>
                  </a:graphic>
                </wp:inline>
              </w:drawing>
            </w:r>
          </w:p>
        </w:tc>
      </w:tr>
    </w:tbl>
    <w:p w:rsidR="005B1876" w:rsidRDefault="005B1876" w:rsidP="005B1876">
      <w:pPr>
        <w:jc w:val="both"/>
        <w:rPr>
          <w:rFonts w:ascii="Gill Sans" w:hAnsi="Gill Sans"/>
          <w:bCs/>
          <w:color w:val="FF0000"/>
          <w:sz w:val="22"/>
          <w:szCs w:val="20"/>
          <w:lang w:eastAsia="en-GB"/>
        </w:rPr>
      </w:pPr>
    </w:p>
    <w:p w:rsidR="00B57064" w:rsidRPr="00B57064" w:rsidRDefault="00B57064" w:rsidP="00B57064">
      <w:pPr>
        <w:jc w:val="both"/>
        <w:rPr>
          <w:rFonts w:ascii="Arial" w:hAnsi="Arial" w:cs="Arial"/>
          <w:sz w:val="20"/>
          <w:szCs w:val="20"/>
        </w:rPr>
      </w:pPr>
      <w:r w:rsidRPr="00B57064">
        <w:rPr>
          <w:rFonts w:ascii="Arial" w:hAnsi="Arial" w:cs="Arial"/>
          <w:b/>
          <w:sz w:val="20"/>
          <w:szCs w:val="20"/>
        </w:rPr>
        <w:t>GP Contractual Issues</w:t>
      </w:r>
    </w:p>
    <w:p w:rsidR="00B57064" w:rsidRPr="00B57064" w:rsidRDefault="00B57064" w:rsidP="00B57064">
      <w:pPr>
        <w:jc w:val="both"/>
        <w:rPr>
          <w:rFonts w:ascii="Arial" w:hAnsi="Arial" w:cs="Arial"/>
          <w:sz w:val="20"/>
          <w:szCs w:val="20"/>
        </w:rPr>
      </w:pPr>
    </w:p>
    <w:p w:rsidR="00B57064" w:rsidRPr="00B57064" w:rsidRDefault="00B57064" w:rsidP="00B57064">
      <w:pPr>
        <w:jc w:val="both"/>
        <w:rPr>
          <w:rFonts w:ascii="Arial" w:hAnsi="Arial" w:cs="Arial"/>
          <w:sz w:val="20"/>
          <w:szCs w:val="20"/>
        </w:rPr>
      </w:pPr>
      <w:proofErr w:type="spellStart"/>
      <w:r w:rsidRPr="00B57064">
        <w:rPr>
          <w:rFonts w:ascii="Arial" w:hAnsi="Arial" w:cs="Arial"/>
          <w:b/>
          <w:sz w:val="20"/>
          <w:szCs w:val="20"/>
        </w:rPr>
        <w:t>i</w:t>
      </w:r>
      <w:proofErr w:type="spellEnd"/>
      <w:r w:rsidRPr="00B57064">
        <w:rPr>
          <w:rFonts w:ascii="Arial" w:hAnsi="Arial" w:cs="Arial"/>
          <w:b/>
          <w:sz w:val="20"/>
          <w:szCs w:val="20"/>
        </w:rPr>
        <w:t xml:space="preserve">.  MPIG Transition: </w:t>
      </w:r>
      <w:r w:rsidRPr="00B57064">
        <w:rPr>
          <w:rFonts w:ascii="Arial" w:hAnsi="Arial" w:cs="Arial"/>
          <w:sz w:val="20"/>
          <w:szCs w:val="20"/>
        </w:rPr>
        <w:t xml:space="preserve">a seven year transitional process during which the approximately two-thirds of </w:t>
      </w:r>
      <w:proofErr w:type="spellStart"/>
      <w:r w:rsidRPr="00B57064">
        <w:rPr>
          <w:rFonts w:ascii="Arial" w:hAnsi="Arial" w:cs="Arial"/>
          <w:sz w:val="20"/>
          <w:szCs w:val="20"/>
        </w:rPr>
        <w:t>nGMS</w:t>
      </w:r>
      <w:proofErr w:type="spellEnd"/>
      <w:r w:rsidRPr="00B57064">
        <w:rPr>
          <w:rFonts w:ascii="Arial" w:hAnsi="Arial" w:cs="Arial"/>
          <w:sz w:val="20"/>
          <w:szCs w:val="20"/>
        </w:rPr>
        <w:t xml:space="preserve"> practices that continue to receive MPIG will see this phased out was part of the 2013/14 Imposed Contract.  Practices will lose 1/7, in absolute terms of their MPIG, each year.</w:t>
      </w:r>
    </w:p>
    <w:p w:rsidR="00B57064" w:rsidRPr="00B57064" w:rsidRDefault="00B57064" w:rsidP="00B57064">
      <w:pPr>
        <w:jc w:val="both"/>
        <w:rPr>
          <w:rFonts w:ascii="Arial" w:hAnsi="Arial" w:cs="Arial"/>
          <w:sz w:val="20"/>
          <w:szCs w:val="20"/>
        </w:rPr>
      </w:pPr>
    </w:p>
    <w:p w:rsidR="00B57064" w:rsidRPr="00B57064" w:rsidRDefault="00B57064" w:rsidP="00B57064">
      <w:pPr>
        <w:jc w:val="both"/>
        <w:rPr>
          <w:rFonts w:ascii="Arial" w:hAnsi="Arial" w:cs="Arial"/>
          <w:sz w:val="20"/>
          <w:szCs w:val="20"/>
        </w:rPr>
      </w:pPr>
      <w:r w:rsidRPr="00B57064">
        <w:rPr>
          <w:rFonts w:ascii="Arial" w:hAnsi="Arial" w:cs="Arial"/>
          <w:sz w:val="20"/>
          <w:szCs w:val="20"/>
        </w:rPr>
        <w:t xml:space="preserve">NHS England has identified 98 so-called outlier practices, approximately 40% of whom are in London, which are forecast to lose over £3/head per year during this transition.  Area Teams have been asked to contact these practices and liaise with local LMCs to discuss </w:t>
      </w:r>
      <w:proofErr w:type="spellStart"/>
      <w:r w:rsidRPr="00B57064">
        <w:rPr>
          <w:rFonts w:ascii="Arial" w:hAnsi="Arial" w:cs="Arial"/>
          <w:sz w:val="20"/>
          <w:szCs w:val="20"/>
        </w:rPr>
        <w:t>mitigatory</w:t>
      </w:r>
      <w:proofErr w:type="spellEnd"/>
      <w:r w:rsidRPr="00B57064">
        <w:rPr>
          <w:rFonts w:ascii="Arial" w:hAnsi="Arial" w:cs="Arial"/>
          <w:sz w:val="20"/>
          <w:szCs w:val="20"/>
        </w:rPr>
        <w:t xml:space="preserve"> arrangements, although in the context of a national contract it is difficult to envisage what these may be.  There are, of course, also practices which will lose significant sums but are below the “outlier” threshold and NHS England has not indicated the spread of the effect or why the cut-off price was chosen.</w:t>
      </w:r>
    </w:p>
    <w:p w:rsidR="00B57064" w:rsidRPr="00B57064" w:rsidRDefault="00B57064" w:rsidP="00B57064">
      <w:pPr>
        <w:jc w:val="both"/>
        <w:rPr>
          <w:rFonts w:ascii="Arial" w:hAnsi="Arial" w:cs="Arial"/>
          <w:sz w:val="20"/>
          <w:szCs w:val="20"/>
        </w:rPr>
      </w:pPr>
    </w:p>
    <w:p w:rsidR="00B57064" w:rsidRPr="00B57064" w:rsidRDefault="00B57064" w:rsidP="00B57064">
      <w:pPr>
        <w:jc w:val="both"/>
        <w:rPr>
          <w:rFonts w:ascii="Arial" w:hAnsi="Arial" w:cs="Arial"/>
          <w:sz w:val="20"/>
          <w:szCs w:val="20"/>
        </w:rPr>
      </w:pPr>
      <w:r w:rsidRPr="00B57064">
        <w:rPr>
          <w:rFonts w:ascii="Arial" w:hAnsi="Arial" w:cs="Arial"/>
          <w:sz w:val="20"/>
          <w:szCs w:val="20"/>
        </w:rPr>
        <w:t xml:space="preserve">Both </w:t>
      </w:r>
      <w:proofErr w:type="spellStart"/>
      <w:r w:rsidRPr="00B57064">
        <w:rPr>
          <w:rFonts w:ascii="Arial" w:hAnsi="Arial" w:cs="Arial"/>
          <w:sz w:val="20"/>
          <w:szCs w:val="20"/>
        </w:rPr>
        <w:t>Londonwide</w:t>
      </w:r>
      <w:proofErr w:type="spellEnd"/>
      <w:r w:rsidRPr="00B57064">
        <w:rPr>
          <w:rFonts w:ascii="Arial" w:hAnsi="Arial" w:cs="Arial"/>
          <w:sz w:val="20"/>
          <w:szCs w:val="20"/>
        </w:rPr>
        <w:t xml:space="preserve"> LMCs and </w:t>
      </w:r>
      <w:proofErr w:type="gramStart"/>
      <w:r w:rsidRPr="00B57064">
        <w:rPr>
          <w:rFonts w:ascii="Arial" w:hAnsi="Arial" w:cs="Arial"/>
          <w:sz w:val="20"/>
          <w:szCs w:val="20"/>
        </w:rPr>
        <w:t>ourselves</w:t>
      </w:r>
      <w:proofErr w:type="gramEnd"/>
      <w:r w:rsidRPr="00B57064">
        <w:rPr>
          <w:rFonts w:ascii="Arial" w:hAnsi="Arial" w:cs="Arial"/>
          <w:sz w:val="20"/>
          <w:szCs w:val="20"/>
        </w:rPr>
        <w:t xml:space="preserve"> have met with the London Area Team about this issue.  </w:t>
      </w:r>
      <w:r w:rsidRPr="00B57064">
        <w:rPr>
          <w:rFonts w:ascii="Arial" w:hAnsi="Arial" w:cs="Arial"/>
          <w:sz w:val="20"/>
          <w:szCs w:val="20"/>
          <w:shd w:val="clear" w:color="auto" w:fill="FFFFFF"/>
        </w:rPr>
        <w:t>NHS London has produced an internal spreadsheet indicating losses (from MPIG transition) and compensatory gains (from QOF point transition to Global Sum, seniority and ceasing DESs) which although using some uncertain predictors (e.g. list size inflation) does indicate the majority of practices Global Sum will increase despite the loss of MPIG.</w:t>
      </w:r>
      <w:r w:rsidRPr="00B57064">
        <w:rPr>
          <w:rFonts w:ascii="Arial" w:hAnsi="Arial" w:cs="Arial"/>
          <w:sz w:val="20"/>
          <w:szCs w:val="20"/>
        </w:rPr>
        <w:t xml:space="preserve">  </w:t>
      </w:r>
    </w:p>
    <w:p w:rsidR="00B57064" w:rsidRPr="00B57064" w:rsidRDefault="00B57064" w:rsidP="00B57064">
      <w:pPr>
        <w:jc w:val="both"/>
        <w:rPr>
          <w:rFonts w:ascii="Arial" w:hAnsi="Arial" w:cs="Arial"/>
          <w:sz w:val="20"/>
          <w:szCs w:val="20"/>
        </w:rPr>
      </w:pPr>
    </w:p>
    <w:p w:rsidR="00B57064" w:rsidRPr="00B57064" w:rsidRDefault="00B57064" w:rsidP="00B57064">
      <w:pPr>
        <w:jc w:val="both"/>
        <w:rPr>
          <w:rFonts w:ascii="Arial" w:hAnsi="Arial" w:cs="Arial"/>
          <w:sz w:val="20"/>
          <w:szCs w:val="20"/>
        </w:rPr>
      </w:pPr>
      <w:r w:rsidRPr="00B57064">
        <w:rPr>
          <w:rFonts w:ascii="Arial" w:hAnsi="Arial" w:cs="Arial"/>
          <w:sz w:val="20"/>
          <w:szCs w:val="20"/>
        </w:rPr>
        <w:t>All GMS practices should have received a letter from Neil Roberts about this issue identifying practices’ likely financial changes as a result of this transition.  Practices should also have received a link to the BMA’s ready reckoner which is designed to give practices indicative figures for this period, although this does not take into account unpredictable elements such as list size inflation and possible future DDRB Awards and the as yet unknown funding for the ‘Unplanned Admissions’ DES.</w:t>
      </w:r>
    </w:p>
    <w:p w:rsidR="008521E0" w:rsidRPr="00B57064" w:rsidRDefault="008521E0" w:rsidP="005B1876">
      <w:pPr>
        <w:jc w:val="both"/>
        <w:rPr>
          <w:rFonts w:ascii="Arial" w:hAnsi="Arial" w:cs="Arial"/>
          <w:bCs/>
          <w:color w:val="FF0000"/>
          <w:sz w:val="20"/>
          <w:szCs w:val="20"/>
          <w:lang w:eastAsia="en-GB"/>
        </w:rPr>
      </w:pPr>
    </w:p>
    <w:p w:rsidR="001F412B" w:rsidRPr="00B57064" w:rsidRDefault="00B57064" w:rsidP="001F412B">
      <w:pPr>
        <w:jc w:val="both"/>
        <w:rPr>
          <w:rFonts w:ascii="Arial" w:hAnsi="Arial" w:cs="Arial"/>
          <w:sz w:val="20"/>
          <w:szCs w:val="20"/>
        </w:rPr>
      </w:pPr>
      <w:r w:rsidRPr="00B57064">
        <w:rPr>
          <w:rFonts w:ascii="Arial" w:hAnsi="Arial" w:cs="Arial"/>
          <w:b/>
          <w:sz w:val="20"/>
          <w:szCs w:val="20"/>
        </w:rPr>
        <w:t>ii</w:t>
      </w:r>
      <w:proofErr w:type="gramStart"/>
      <w:r w:rsidRPr="00B57064">
        <w:rPr>
          <w:rFonts w:ascii="Arial" w:hAnsi="Arial" w:cs="Arial"/>
          <w:b/>
          <w:sz w:val="20"/>
          <w:szCs w:val="20"/>
        </w:rPr>
        <w:t xml:space="preserve">.  </w:t>
      </w:r>
      <w:r w:rsidR="001F412B" w:rsidRPr="00B57064">
        <w:rPr>
          <w:rFonts w:ascii="Arial" w:hAnsi="Arial" w:cs="Arial"/>
          <w:b/>
          <w:sz w:val="20"/>
          <w:szCs w:val="20"/>
        </w:rPr>
        <w:t>PMS</w:t>
      </w:r>
      <w:proofErr w:type="gramEnd"/>
      <w:r w:rsidR="001F412B" w:rsidRPr="00B57064">
        <w:rPr>
          <w:rFonts w:ascii="Arial" w:hAnsi="Arial" w:cs="Arial"/>
          <w:b/>
          <w:sz w:val="20"/>
          <w:szCs w:val="20"/>
        </w:rPr>
        <w:t xml:space="preserve"> Review:</w:t>
      </w:r>
      <w:r w:rsidR="001F412B" w:rsidRPr="00B57064">
        <w:rPr>
          <w:rFonts w:ascii="Arial" w:hAnsi="Arial" w:cs="Arial"/>
          <w:sz w:val="20"/>
          <w:szCs w:val="20"/>
        </w:rPr>
        <w:t xml:space="preserve"> </w:t>
      </w:r>
      <w:r w:rsidRPr="00B57064">
        <w:rPr>
          <w:rFonts w:ascii="Arial" w:hAnsi="Arial" w:cs="Arial"/>
          <w:sz w:val="20"/>
          <w:szCs w:val="20"/>
        </w:rPr>
        <w:t>It is likely NHS England will request Area Teams to undertake PMS Reviews and this will probably commence with PMS Practices which have not had a Review nor hold generic contracts.  In South London this means Kingston and Richmond, where there are approximately 14 PMS Contractors.</w:t>
      </w:r>
    </w:p>
    <w:p w:rsidR="00B57064" w:rsidRPr="00B57064" w:rsidRDefault="00B57064" w:rsidP="001F412B">
      <w:pPr>
        <w:jc w:val="both"/>
        <w:rPr>
          <w:rFonts w:ascii="Arial" w:hAnsi="Arial" w:cs="Arial"/>
          <w:sz w:val="20"/>
          <w:szCs w:val="20"/>
        </w:rPr>
      </w:pPr>
    </w:p>
    <w:p w:rsidR="001F412B" w:rsidRPr="00B57064" w:rsidRDefault="00B57064" w:rsidP="001F412B">
      <w:pPr>
        <w:jc w:val="both"/>
        <w:rPr>
          <w:rFonts w:ascii="Arial" w:hAnsi="Arial" w:cs="Arial"/>
          <w:sz w:val="20"/>
          <w:szCs w:val="20"/>
        </w:rPr>
      </w:pPr>
      <w:r w:rsidRPr="00B57064">
        <w:rPr>
          <w:rFonts w:ascii="Arial" w:hAnsi="Arial" w:cs="Arial"/>
          <w:b/>
          <w:sz w:val="20"/>
          <w:szCs w:val="20"/>
        </w:rPr>
        <w:t>iii.</w:t>
      </w:r>
      <w:r w:rsidR="001F412B" w:rsidRPr="00B57064">
        <w:rPr>
          <w:rFonts w:ascii="Arial" w:hAnsi="Arial" w:cs="Arial"/>
          <w:b/>
          <w:sz w:val="20"/>
          <w:szCs w:val="20"/>
        </w:rPr>
        <w:t xml:space="preserve"> 2014/15 Contract </w:t>
      </w:r>
      <w:proofErr w:type="gramStart"/>
      <w:r w:rsidR="001F412B" w:rsidRPr="00B57064">
        <w:rPr>
          <w:rFonts w:ascii="Arial" w:hAnsi="Arial" w:cs="Arial"/>
          <w:b/>
          <w:sz w:val="20"/>
          <w:szCs w:val="20"/>
        </w:rPr>
        <w:t>Uplift</w:t>
      </w:r>
      <w:r w:rsidR="001F412B" w:rsidRPr="00B57064">
        <w:rPr>
          <w:rFonts w:ascii="Arial" w:hAnsi="Arial" w:cs="Arial"/>
          <w:sz w:val="20"/>
          <w:szCs w:val="20"/>
        </w:rPr>
        <w:t xml:space="preserve">  NHS</w:t>
      </w:r>
      <w:proofErr w:type="gramEnd"/>
      <w:r w:rsidR="001F412B" w:rsidRPr="00B57064">
        <w:rPr>
          <w:rFonts w:ascii="Arial" w:hAnsi="Arial" w:cs="Arial"/>
          <w:sz w:val="20"/>
          <w:szCs w:val="20"/>
        </w:rPr>
        <w:t xml:space="preserve"> England has confirmed that PMS Contractors will be treated in the same as GMS Contractors in terms of the movement of QOF points, ceasing DESs, and, ultimately, Seniority, into Global Sum/PMS Baselines.  Discussions about rebasing the PMS QOF deduction are continuing.</w:t>
      </w:r>
    </w:p>
    <w:p w:rsidR="001F412B" w:rsidRPr="00B57064" w:rsidRDefault="001F412B" w:rsidP="001F412B">
      <w:pPr>
        <w:jc w:val="both"/>
        <w:rPr>
          <w:rFonts w:ascii="Arial" w:hAnsi="Arial" w:cs="Arial"/>
          <w:sz w:val="20"/>
          <w:szCs w:val="20"/>
        </w:rPr>
      </w:pPr>
    </w:p>
    <w:p w:rsidR="001F412B" w:rsidRPr="00B57064" w:rsidRDefault="00B57064" w:rsidP="001F412B">
      <w:pPr>
        <w:jc w:val="both"/>
        <w:rPr>
          <w:rFonts w:ascii="Arial" w:hAnsi="Arial" w:cs="Arial"/>
          <w:sz w:val="20"/>
          <w:szCs w:val="20"/>
        </w:rPr>
      </w:pPr>
      <w:r w:rsidRPr="00B57064">
        <w:rPr>
          <w:rFonts w:ascii="Arial" w:hAnsi="Arial" w:cs="Arial"/>
          <w:b/>
          <w:sz w:val="20"/>
          <w:szCs w:val="20"/>
        </w:rPr>
        <w:t>iv.</w:t>
      </w:r>
      <w:r w:rsidR="001F412B" w:rsidRPr="00B57064">
        <w:rPr>
          <w:rFonts w:ascii="Arial" w:hAnsi="Arial" w:cs="Arial"/>
          <w:b/>
          <w:sz w:val="20"/>
          <w:szCs w:val="20"/>
        </w:rPr>
        <w:t xml:space="preserve"> </w:t>
      </w:r>
      <w:proofErr w:type="spellStart"/>
      <w:r w:rsidR="001F412B" w:rsidRPr="00B57064">
        <w:rPr>
          <w:rFonts w:ascii="Arial" w:hAnsi="Arial" w:cs="Arial"/>
          <w:b/>
          <w:sz w:val="20"/>
          <w:szCs w:val="20"/>
        </w:rPr>
        <w:t>GPSoC</w:t>
      </w:r>
      <w:proofErr w:type="spellEnd"/>
      <w:r w:rsidR="001F412B" w:rsidRPr="00B57064">
        <w:rPr>
          <w:rFonts w:ascii="Arial" w:hAnsi="Arial" w:cs="Arial"/>
          <w:b/>
          <w:sz w:val="20"/>
          <w:szCs w:val="20"/>
        </w:rPr>
        <w:t xml:space="preserve">: </w:t>
      </w:r>
      <w:r w:rsidR="001F412B" w:rsidRPr="00B57064">
        <w:rPr>
          <w:rFonts w:ascii="Arial" w:hAnsi="Arial" w:cs="Arial"/>
          <w:sz w:val="20"/>
          <w:szCs w:val="20"/>
        </w:rPr>
        <w:t xml:space="preserve"> a new </w:t>
      </w:r>
      <w:proofErr w:type="spellStart"/>
      <w:r w:rsidR="001F412B" w:rsidRPr="00B57064">
        <w:rPr>
          <w:rFonts w:ascii="Arial" w:hAnsi="Arial" w:cs="Arial"/>
          <w:sz w:val="20"/>
          <w:szCs w:val="20"/>
        </w:rPr>
        <w:t>GPSoC</w:t>
      </w:r>
      <w:proofErr w:type="spellEnd"/>
      <w:r w:rsidR="001F412B" w:rsidRPr="00B57064">
        <w:rPr>
          <w:rFonts w:ascii="Arial" w:hAnsi="Arial" w:cs="Arial"/>
          <w:sz w:val="20"/>
          <w:szCs w:val="20"/>
        </w:rPr>
        <w:t xml:space="preserve"> Agreement is being negotiated; the indications are that a wider range of ‘kit’ will be considered core and therefore funded by NHS England.</w:t>
      </w:r>
    </w:p>
    <w:p w:rsidR="00B57064" w:rsidRPr="00B57064" w:rsidRDefault="00B57064" w:rsidP="001F412B">
      <w:pPr>
        <w:jc w:val="both"/>
        <w:rPr>
          <w:rFonts w:ascii="Arial" w:hAnsi="Arial" w:cs="Arial"/>
          <w:sz w:val="20"/>
          <w:szCs w:val="20"/>
        </w:rPr>
      </w:pPr>
    </w:p>
    <w:p w:rsidR="00B57064" w:rsidRPr="00B57064" w:rsidRDefault="00B57064" w:rsidP="00B57064">
      <w:pPr>
        <w:jc w:val="both"/>
        <w:rPr>
          <w:rFonts w:ascii="Arial" w:hAnsi="Arial" w:cs="Arial"/>
          <w:sz w:val="20"/>
          <w:szCs w:val="20"/>
        </w:rPr>
      </w:pPr>
      <w:r w:rsidRPr="00B57064">
        <w:rPr>
          <w:rFonts w:ascii="Arial" w:hAnsi="Arial" w:cs="Arial"/>
          <w:b/>
          <w:sz w:val="20"/>
          <w:szCs w:val="20"/>
        </w:rPr>
        <w:t xml:space="preserve">iv. Over 75 </w:t>
      </w:r>
      <w:proofErr w:type="spellStart"/>
      <w:r w:rsidRPr="00B57064">
        <w:rPr>
          <w:rFonts w:ascii="Arial" w:hAnsi="Arial" w:cs="Arial"/>
          <w:b/>
          <w:sz w:val="20"/>
          <w:szCs w:val="20"/>
        </w:rPr>
        <w:t>yr</w:t>
      </w:r>
      <w:proofErr w:type="spellEnd"/>
      <w:r w:rsidRPr="00B57064">
        <w:rPr>
          <w:rFonts w:ascii="Arial" w:hAnsi="Arial" w:cs="Arial"/>
          <w:b/>
          <w:sz w:val="20"/>
          <w:szCs w:val="20"/>
        </w:rPr>
        <w:t xml:space="preserve"> old patients named GP:</w:t>
      </w:r>
      <w:r w:rsidRPr="00B57064">
        <w:rPr>
          <w:rFonts w:ascii="Arial" w:hAnsi="Arial" w:cs="Arial"/>
          <w:sz w:val="20"/>
          <w:szCs w:val="20"/>
        </w:rPr>
        <w:t xml:space="preserve"> I have written to all practices outlining the GPCs advice in terms of implementing this amendment to the Contract.  </w:t>
      </w:r>
    </w:p>
    <w:p w:rsidR="00B57064" w:rsidRPr="00B57064" w:rsidRDefault="00B57064" w:rsidP="00B57064">
      <w:pPr>
        <w:jc w:val="both"/>
        <w:rPr>
          <w:rFonts w:ascii="Arial" w:hAnsi="Arial" w:cs="Arial"/>
          <w:sz w:val="20"/>
          <w:szCs w:val="20"/>
        </w:rPr>
      </w:pPr>
    </w:p>
    <w:p w:rsidR="00B57064" w:rsidRPr="00B57064" w:rsidRDefault="00B57064" w:rsidP="00B57064">
      <w:pPr>
        <w:jc w:val="both"/>
        <w:rPr>
          <w:rFonts w:ascii="Arial" w:hAnsi="Arial" w:cs="Arial"/>
          <w:sz w:val="20"/>
          <w:szCs w:val="20"/>
        </w:rPr>
      </w:pPr>
      <w:r w:rsidRPr="00B57064">
        <w:rPr>
          <w:rFonts w:ascii="Arial" w:hAnsi="Arial" w:cs="Arial"/>
          <w:sz w:val="20"/>
          <w:szCs w:val="20"/>
        </w:rPr>
        <w:t>Unfortunately GPC has indicated other contractual guidance is unlikely to be forthcoming from NHS England until the last week in March.</w:t>
      </w:r>
    </w:p>
    <w:p w:rsidR="00B57064" w:rsidRPr="00B57064" w:rsidRDefault="00B57064" w:rsidP="00B57064">
      <w:pPr>
        <w:jc w:val="both"/>
        <w:rPr>
          <w:rFonts w:ascii="Arial" w:hAnsi="Arial" w:cs="Arial"/>
          <w:sz w:val="20"/>
          <w:szCs w:val="20"/>
        </w:rPr>
      </w:pPr>
    </w:p>
    <w:p w:rsidR="00B57064" w:rsidRPr="00B57064" w:rsidRDefault="00B57064" w:rsidP="00B57064">
      <w:pPr>
        <w:rPr>
          <w:rFonts w:ascii="Arial" w:hAnsi="Arial" w:cs="Arial"/>
          <w:b/>
          <w:sz w:val="20"/>
          <w:szCs w:val="20"/>
        </w:rPr>
      </w:pPr>
      <w:r w:rsidRPr="00B57064">
        <w:rPr>
          <w:rFonts w:ascii="Arial" w:hAnsi="Arial" w:cs="Arial"/>
          <w:b/>
          <w:sz w:val="20"/>
          <w:szCs w:val="20"/>
        </w:rPr>
        <w:t>DDRB Report 2014</w:t>
      </w:r>
    </w:p>
    <w:p w:rsidR="00B57064" w:rsidRDefault="00B57064" w:rsidP="00B57064">
      <w:pPr>
        <w:jc w:val="both"/>
        <w:rPr>
          <w:rFonts w:ascii="Arial" w:hAnsi="Arial" w:cs="Arial"/>
          <w:sz w:val="20"/>
          <w:szCs w:val="20"/>
        </w:rPr>
      </w:pPr>
      <w:r w:rsidRPr="00B57064">
        <w:rPr>
          <w:rFonts w:ascii="Arial" w:hAnsi="Arial" w:cs="Arial"/>
          <w:sz w:val="20"/>
          <w:szCs w:val="20"/>
        </w:rPr>
        <w:t xml:space="preserve">The DDRB has now reported for 2014; unfortunately their recommendations, designed to achieve a 1% increase in overall NHS GP Contract remuneration, have resulted in a 0.28% increase which has been accepted by the Government.  </w:t>
      </w:r>
    </w:p>
    <w:p w:rsidR="00B57064" w:rsidRDefault="00B57064" w:rsidP="00B57064">
      <w:pPr>
        <w:jc w:val="both"/>
        <w:rPr>
          <w:rFonts w:ascii="Arial" w:hAnsi="Arial" w:cs="Arial"/>
          <w:sz w:val="20"/>
          <w:szCs w:val="20"/>
        </w:rPr>
      </w:pPr>
    </w:p>
    <w:p w:rsidR="00F4461B" w:rsidRDefault="00F4461B" w:rsidP="00B57064">
      <w:pPr>
        <w:jc w:val="both"/>
        <w:rPr>
          <w:rFonts w:ascii="Arial" w:hAnsi="Arial" w:cs="Arial"/>
          <w:sz w:val="20"/>
          <w:szCs w:val="20"/>
        </w:rPr>
      </w:pPr>
    </w:p>
    <w:p w:rsidR="00B57064" w:rsidRPr="00B57064" w:rsidRDefault="00B57064" w:rsidP="00B57064">
      <w:pPr>
        <w:jc w:val="both"/>
        <w:rPr>
          <w:rFonts w:ascii="Arial" w:hAnsi="Arial" w:cs="Arial"/>
          <w:sz w:val="20"/>
          <w:szCs w:val="20"/>
        </w:rPr>
      </w:pPr>
      <w:r w:rsidRPr="00B57064">
        <w:rPr>
          <w:rFonts w:ascii="Arial" w:hAnsi="Arial" w:cs="Arial"/>
          <w:sz w:val="20"/>
          <w:szCs w:val="20"/>
        </w:rPr>
        <w:t>This is the result of the uplift formula below:</w:t>
      </w:r>
    </w:p>
    <w:p w:rsidR="00B57064" w:rsidRDefault="00B57064" w:rsidP="00B57064">
      <w:pPr>
        <w:rPr>
          <w:rFonts w:ascii="Arial" w:hAnsi="Arial" w:cs="Arial"/>
          <w:sz w:val="20"/>
          <w:szCs w:val="20"/>
        </w:rPr>
      </w:pPr>
    </w:p>
    <w:p w:rsidR="00F4461B" w:rsidRDefault="00F4461B" w:rsidP="00B57064">
      <w:pPr>
        <w:rPr>
          <w:rFonts w:ascii="Arial" w:hAnsi="Arial" w:cs="Arial"/>
          <w:sz w:val="20"/>
          <w:szCs w:val="20"/>
        </w:rPr>
      </w:pPr>
    </w:p>
    <w:p w:rsidR="00F4461B" w:rsidRPr="00B57064" w:rsidRDefault="00F4461B" w:rsidP="00B57064">
      <w:pPr>
        <w:rPr>
          <w:rFonts w:ascii="Arial" w:hAnsi="Arial" w:cs="Arial"/>
          <w:sz w:val="20"/>
          <w:szCs w:val="20"/>
        </w:rPr>
      </w:pPr>
    </w:p>
    <w:p w:rsidR="00B57064" w:rsidRPr="00B57064" w:rsidRDefault="00B57064" w:rsidP="00B570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992"/>
        <w:gridCol w:w="4527"/>
        <w:gridCol w:w="2396"/>
      </w:tblGrid>
      <w:tr w:rsidR="00B57064" w:rsidRPr="00B57064" w:rsidTr="00C02059">
        <w:tc>
          <w:tcPr>
            <w:tcW w:w="9576" w:type="dxa"/>
            <w:gridSpan w:val="4"/>
            <w:shd w:val="clear" w:color="auto" w:fill="F2F2F2"/>
          </w:tcPr>
          <w:p w:rsidR="00B57064" w:rsidRPr="00B57064" w:rsidRDefault="00B57064" w:rsidP="00B57064">
            <w:pPr>
              <w:jc w:val="center"/>
              <w:rPr>
                <w:rFonts w:ascii="Arial" w:hAnsi="Arial" w:cs="Arial"/>
                <w:b/>
                <w:sz w:val="20"/>
                <w:szCs w:val="20"/>
              </w:rPr>
            </w:pPr>
            <w:r w:rsidRPr="00B57064">
              <w:rPr>
                <w:rFonts w:ascii="Arial" w:hAnsi="Arial" w:cs="Arial"/>
                <w:b/>
                <w:sz w:val="20"/>
                <w:szCs w:val="20"/>
              </w:rPr>
              <w:t>UPLIFT FORMULA FOR GENERAL MEDICAL PRACTITIONERS 2014 – 15</w:t>
            </w:r>
          </w:p>
        </w:tc>
      </w:tr>
      <w:tr w:rsidR="00B57064" w:rsidRPr="00B57064" w:rsidTr="00C02059">
        <w:trPr>
          <w:trHeight w:val="57"/>
        </w:trPr>
        <w:tc>
          <w:tcPr>
            <w:tcW w:w="1661" w:type="dxa"/>
            <w:shd w:val="clear" w:color="auto" w:fill="auto"/>
          </w:tcPr>
          <w:p w:rsidR="00B57064" w:rsidRPr="00B57064" w:rsidRDefault="00B57064" w:rsidP="00B57064">
            <w:pPr>
              <w:jc w:val="center"/>
              <w:rPr>
                <w:rFonts w:ascii="Arial" w:hAnsi="Arial" w:cs="Arial"/>
                <w:b/>
                <w:sz w:val="20"/>
                <w:szCs w:val="20"/>
              </w:rPr>
            </w:pPr>
          </w:p>
          <w:p w:rsidR="00B57064" w:rsidRPr="00B57064" w:rsidRDefault="00B57064" w:rsidP="00B57064">
            <w:pPr>
              <w:jc w:val="center"/>
              <w:rPr>
                <w:rFonts w:ascii="Arial" w:hAnsi="Arial" w:cs="Arial"/>
                <w:b/>
                <w:sz w:val="20"/>
                <w:szCs w:val="20"/>
              </w:rPr>
            </w:pPr>
            <w:r w:rsidRPr="00B57064">
              <w:rPr>
                <w:rFonts w:ascii="Arial" w:hAnsi="Arial" w:cs="Arial"/>
                <w:b/>
                <w:sz w:val="20"/>
                <w:szCs w:val="20"/>
              </w:rPr>
              <w:t>Formula</w:t>
            </w:r>
          </w:p>
          <w:p w:rsidR="00B57064" w:rsidRPr="00B57064" w:rsidRDefault="00B57064" w:rsidP="00B57064">
            <w:pPr>
              <w:jc w:val="center"/>
              <w:rPr>
                <w:rFonts w:ascii="Arial" w:hAnsi="Arial" w:cs="Arial"/>
                <w:b/>
                <w:sz w:val="20"/>
                <w:szCs w:val="20"/>
              </w:rPr>
            </w:pPr>
            <w:r w:rsidRPr="00B57064">
              <w:rPr>
                <w:rFonts w:ascii="Arial" w:hAnsi="Arial" w:cs="Arial"/>
                <w:b/>
                <w:sz w:val="20"/>
                <w:szCs w:val="20"/>
              </w:rPr>
              <w:t>element</w:t>
            </w:r>
          </w:p>
        </w:tc>
        <w:tc>
          <w:tcPr>
            <w:tcW w:w="992" w:type="dxa"/>
            <w:shd w:val="clear" w:color="auto" w:fill="auto"/>
          </w:tcPr>
          <w:p w:rsidR="00B57064" w:rsidRPr="00B57064" w:rsidRDefault="00B57064" w:rsidP="00B57064">
            <w:pPr>
              <w:jc w:val="center"/>
              <w:rPr>
                <w:rFonts w:ascii="Arial" w:hAnsi="Arial" w:cs="Arial"/>
                <w:b/>
                <w:sz w:val="20"/>
                <w:szCs w:val="20"/>
              </w:rPr>
            </w:pPr>
          </w:p>
          <w:p w:rsidR="00B57064" w:rsidRPr="00B57064" w:rsidRDefault="00B57064" w:rsidP="00B57064">
            <w:pPr>
              <w:jc w:val="center"/>
              <w:rPr>
                <w:rFonts w:ascii="Arial" w:hAnsi="Arial" w:cs="Arial"/>
                <w:b/>
                <w:sz w:val="20"/>
                <w:szCs w:val="20"/>
              </w:rPr>
            </w:pPr>
            <w:r w:rsidRPr="00B57064">
              <w:rPr>
                <w:rFonts w:ascii="Arial" w:hAnsi="Arial" w:cs="Arial"/>
                <w:b/>
                <w:sz w:val="20"/>
                <w:szCs w:val="20"/>
              </w:rPr>
              <w:t>Weight</w:t>
            </w:r>
          </w:p>
          <w:p w:rsidR="00B57064" w:rsidRPr="00B57064" w:rsidRDefault="00B57064" w:rsidP="00B57064">
            <w:pPr>
              <w:jc w:val="center"/>
              <w:rPr>
                <w:rFonts w:ascii="Arial" w:hAnsi="Arial" w:cs="Arial"/>
                <w:b/>
                <w:sz w:val="20"/>
                <w:szCs w:val="20"/>
              </w:rPr>
            </w:pPr>
            <w:r w:rsidRPr="00B57064">
              <w:rPr>
                <w:rFonts w:ascii="Arial" w:hAnsi="Arial" w:cs="Arial"/>
                <w:b/>
                <w:sz w:val="20"/>
                <w:szCs w:val="20"/>
              </w:rPr>
              <w:t>(A)</w:t>
            </w:r>
          </w:p>
        </w:tc>
        <w:tc>
          <w:tcPr>
            <w:tcW w:w="4527" w:type="dxa"/>
            <w:shd w:val="clear" w:color="auto" w:fill="auto"/>
          </w:tcPr>
          <w:p w:rsidR="00B57064" w:rsidRPr="00B57064" w:rsidRDefault="00B57064" w:rsidP="00B57064">
            <w:pPr>
              <w:jc w:val="center"/>
              <w:rPr>
                <w:rFonts w:ascii="Arial" w:hAnsi="Arial" w:cs="Arial"/>
                <w:b/>
                <w:sz w:val="20"/>
                <w:szCs w:val="20"/>
              </w:rPr>
            </w:pPr>
          </w:p>
          <w:p w:rsidR="00B57064" w:rsidRPr="00B57064" w:rsidRDefault="00B57064" w:rsidP="00B57064">
            <w:pPr>
              <w:jc w:val="center"/>
              <w:rPr>
                <w:rFonts w:ascii="Arial" w:hAnsi="Arial" w:cs="Arial"/>
                <w:b/>
                <w:sz w:val="20"/>
                <w:szCs w:val="20"/>
              </w:rPr>
            </w:pPr>
            <w:r w:rsidRPr="00B57064">
              <w:rPr>
                <w:rFonts w:ascii="Arial" w:hAnsi="Arial" w:cs="Arial"/>
                <w:b/>
                <w:sz w:val="20"/>
                <w:szCs w:val="20"/>
              </w:rPr>
              <w:t>Pay and price data and source</w:t>
            </w:r>
          </w:p>
          <w:p w:rsidR="00B57064" w:rsidRPr="00B57064" w:rsidRDefault="00B57064" w:rsidP="00B57064">
            <w:pPr>
              <w:jc w:val="center"/>
              <w:rPr>
                <w:rFonts w:ascii="Arial" w:hAnsi="Arial" w:cs="Arial"/>
                <w:b/>
                <w:sz w:val="20"/>
                <w:szCs w:val="20"/>
              </w:rPr>
            </w:pPr>
            <w:r w:rsidRPr="00B57064">
              <w:rPr>
                <w:rFonts w:ascii="Arial" w:hAnsi="Arial" w:cs="Arial"/>
                <w:b/>
                <w:sz w:val="20"/>
                <w:szCs w:val="20"/>
              </w:rPr>
              <w:t>(B)</w:t>
            </w:r>
          </w:p>
        </w:tc>
        <w:tc>
          <w:tcPr>
            <w:tcW w:w="2396" w:type="dxa"/>
            <w:shd w:val="clear" w:color="auto" w:fill="auto"/>
          </w:tcPr>
          <w:p w:rsidR="00B57064" w:rsidRPr="00B57064" w:rsidRDefault="00B57064" w:rsidP="00B57064">
            <w:pPr>
              <w:jc w:val="center"/>
              <w:rPr>
                <w:rFonts w:ascii="Arial" w:hAnsi="Arial" w:cs="Arial"/>
                <w:b/>
                <w:sz w:val="20"/>
                <w:szCs w:val="20"/>
              </w:rPr>
            </w:pPr>
          </w:p>
          <w:p w:rsidR="00B57064" w:rsidRPr="00B57064" w:rsidRDefault="00B57064" w:rsidP="00B57064">
            <w:pPr>
              <w:jc w:val="center"/>
              <w:rPr>
                <w:rFonts w:ascii="Arial" w:hAnsi="Arial" w:cs="Arial"/>
                <w:b/>
                <w:sz w:val="20"/>
                <w:szCs w:val="20"/>
              </w:rPr>
            </w:pPr>
            <w:r w:rsidRPr="00B57064">
              <w:rPr>
                <w:rFonts w:ascii="Arial" w:hAnsi="Arial" w:cs="Arial"/>
                <w:b/>
                <w:sz w:val="20"/>
                <w:szCs w:val="20"/>
              </w:rPr>
              <w:t>Contribution to uplift (A*B)</w:t>
            </w:r>
          </w:p>
        </w:tc>
      </w:tr>
      <w:tr w:rsidR="00B57064" w:rsidRPr="00B57064" w:rsidTr="00C02059">
        <w:trPr>
          <w:trHeight w:val="57"/>
        </w:trPr>
        <w:tc>
          <w:tcPr>
            <w:tcW w:w="1661" w:type="dxa"/>
            <w:shd w:val="clear" w:color="auto" w:fill="auto"/>
          </w:tcPr>
          <w:p w:rsidR="00B57064" w:rsidRPr="00B57064" w:rsidRDefault="00B57064" w:rsidP="00C02059">
            <w:pPr>
              <w:rPr>
                <w:rFonts w:ascii="Arial" w:hAnsi="Arial" w:cs="Arial"/>
                <w:b/>
                <w:sz w:val="20"/>
                <w:szCs w:val="20"/>
              </w:rPr>
            </w:pPr>
          </w:p>
          <w:p w:rsidR="00B57064" w:rsidRPr="00B57064" w:rsidRDefault="00B57064" w:rsidP="00C02059">
            <w:pPr>
              <w:rPr>
                <w:rFonts w:ascii="Arial" w:hAnsi="Arial" w:cs="Arial"/>
                <w:sz w:val="20"/>
                <w:szCs w:val="20"/>
              </w:rPr>
            </w:pPr>
            <w:r w:rsidRPr="00B57064">
              <w:rPr>
                <w:rFonts w:ascii="Arial" w:hAnsi="Arial" w:cs="Arial"/>
                <w:sz w:val="20"/>
                <w:szCs w:val="20"/>
              </w:rPr>
              <w:t>Income</w:t>
            </w:r>
          </w:p>
        </w:tc>
        <w:tc>
          <w:tcPr>
            <w:tcW w:w="992" w:type="dxa"/>
            <w:shd w:val="clear" w:color="auto" w:fill="auto"/>
          </w:tcPr>
          <w:p w:rsidR="00B57064" w:rsidRPr="00B57064" w:rsidRDefault="00B57064" w:rsidP="00B57064">
            <w:pPr>
              <w:jc w:val="center"/>
              <w:rPr>
                <w:rFonts w:ascii="Arial" w:hAnsi="Arial" w:cs="Arial"/>
                <w:b/>
                <w:sz w:val="20"/>
                <w:szCs w:val="20"/>
              </w:rPr>
            </w:pPr>
          </w:p>
          <w:p w:rsidR="00B57064" w:rsidRPr="00B57064" w:rsidRDefault="00B57064" w:rsidP="00B57064">
            <w:pPr>
              <w:jc w:val="center"/>
              <w:rPr>
                <w:rFonts w:ascii="Arial" w:hAnsi="Arial" w:cs="Arial"/>
                <w:sz w:val="20"/>
                <w:szCs w:val="20"/>
              </w:rPr>
            </w:pPr>
            <w:r w:rsidRPr="00B57064">
              <w:rPr>
                <w:rFonts w:ascii="Arial" w:hAnsi="Arial" w:cs="Arial"/>
                <w:sz w:val="20"/>
                <w:szCs w:val="20"/>
              </w:rPr>
              <w:t>43.0%</w:t>
            </w:r>
          </w:p>
        </w:tc>
        <w:tc>
          <w:tcPr>
            <w:tcW w:w="4527" w:type="dxa"/>
            <w:shd w:val="clear" w:color="auto" w:fill="auto"/>
          </w:tcPr>
          <w:p w:rsidR="00B57064" w:rsidRPr="00B57064" w:rsidRDefault="00B57064" w:rsidP="00B57064">
            <w:pPr>
              <w:rPr>
                <w:rFonts w:ascii="Arial" w:hAnsi="Arial" w:cs="Arial"/>
                <w:b/>
                <w:sz w:val="20"/>
                <w:szCs w:val="20"/>
              </w:rPr>
            </w:pPr>
          </w:p>
          <w:p w:rsidR="00B57064" w:rsidRPr="00B57064" w:rsidRDefault="00B57064" w:rsidP="00B57064">
            <w:pPr>
              <w:rPr>
                <w:rFonts w:ascii="Arial" w:hAnsi="Arial" w:cs="Arial"/>
                <w:sz w:val="20"/>
                <w:szCs w:val="20"/>
              </w:rPr>
            </w:pPr>
            <w:r w:rsidRPr="00B57064">
              <w:rPr>
                <w:rFonts w:ascii="Arial" w:hAnsi="Arial" w:cs="Arial"/>
                <w:sz w:val="20"/>
                <w:szCs w:val="20"/>
              </w:rPr>
              <w:t>1%</w:t>
            </w:r>
          </w:p>
          <w:p w:rsidR="00B57064" w:rsidRPr="00B57064" w:rsidRDefault="00B57064" w:rsidP="00B57064">
            <w:pPr>
              <w:rPr>
                <w:rFonts w:ascii="Arial" w:hAnsi="Arial" w:cs="Arial"/>
                <w:sz w:val="20"/>
                <w:szCs w:val="20"/>
              </w:rPr>
            </w:pPr>
            <w:r w:rsidRPr="00B57064">
              <w:rPr>
                <w:rFonts w:ascii="Arial" w:hAnsi="Arial" w:cs="Arial"/>
                <w:sz w:val="20"/>
                <w:szCs w:val="20"/>
              </w:rPr>
              <w:t>DRB recommendation</w:t>
            </w:r>
          </w:p>
        </w:tc>
        <w:tc>
          <w:tcPr>
            <w:tcW w:w="2396" w:type="dxa"/>
            <w:shd w:val="clear" w:color="auto" w:fill="auto"/>
          </w:tcPr>
          <w:p w:rsidR="00B57064" w:rsidRPr="00B57064" w:rsidRDefault="00B57064" w:rsidP="00B57064">
            <w:pPr>
              <w:ind w:right="571"/>
              <w:jc w:val="right"/>
              <w:rPr>
                <w:rFonts w:ascii="Arial" w:hAnsi="Arial" w:cs="Arial"/>
                <w:b/>
                <w:sz w:val="20"/>
                <w:szCs w:val="20"/>
              </w:rPr>
            </w:pPr>
          </w:p>
          <w:p w:rsidR="00B57064" w:rsidRPr="00B57064" w:rsidRDefault="00B57064" w:rsidP="00B57064">
            <w:pPr>
              <w:ind w:right="571"/>
              <w:jc w:val="right"/>
              <w:rPr>
                <w:rFonts w:ascii="Arial" w:hAnsi="Arial" w:cs="Arial"/>
                <w:sz w:val="20"/>
                <w:szCs w:val="20"/>
              </w:rPr>
            </w:pPr>
            <w:r w:rsidRPr="00B57064">
              <w:rPr>
                <w:rFonts w:ascii="Arial" w:hAnsi="Arial" w:cs="Arial"/>
                <w:sz w:val="20"/>
                <w:szCs w:val="20"/>
              </w:rPr>
              <w:t>0.43%</w:t>
            </w:r>
          </w:p>
        </w:tc>
      </w:tr>
      <w:tr w:rsidR="00B57064" w:rsidRPr="00B57064" w:rsidTr="00C02059">
        <w:trPr>
          <w:trHeight w:val="57"/>
        </w:trPr>
        <w:tc>
          <w:tcPr>
            <w:tcW w:w="1661" w:type="dxa"/>
            <w:shd w:val="clear" w:color="auto" w:fill="auto"/>
          </w:tcPr>
          <w:p w:rsidR="00B57064" w:rsidRPr="00B57064" w:rsidRDefault="00B57064" w:rsidP="00C02059">
            <w:pPr>
              <w:rPr>
                <w:rFonts w:ascii="Arial" w:hAnsi="Arial" w:cs="Arial"/>
                <w:b/>
                <w:sz w:val="20"/>
                <w:szCs w:val="20"/>
              </w:rPr>
            </w:pPr>
          </w:p>
          <w:p w:rsidR="00B57064" w:rsidRPr="00B57064" w:rsidRDefault="00B57064" w:rsidP="00C02059">
            <w:pPr>
              <w:rPr>
                <w:rFonts w:ascii="Arial" w:hAnsi="Arial" w:cs="Arial"/>
                <w:sz w:val="20"/>
                <w:szCs w:val="20"/>
              </w:rPr>
            </w:pPr>
            <w:r w:rsidRPr="00B57064">
              <w:rPr>
                <w:rFonts w:ascii="Arial" w:hAnsi="Arial" w:cs="Arial"/>
                <w:sz w:val="20"/>
                <w:szCs w:val="20"/>
              </w:rPr>
              <w:t>Staff costs</w:t>
            </w:r>
          </w:p>
        </w:tc>
        <w:tc>
          <w:tcPr>
            <w:tcW w:w="992" w:type="dxa"/>
            <w:shd w:val="clear" w:color="auto" w:fill="auto"/>
          </w:tcPr>
          <w:p w:rsidR="00B57064" w:rsidRPr="00B57064" w:rsidRDefault="00B57064" w:rsidP="00B57064">
            <w:pPr>
              <w:jc w:val="center"/>
              <w:rPr>
                <w:rFonts w:ascii="Arial" w:hAnsi="Arial" w:cs="Arial"/>
                <w:b/>
                <w:sz w:val="20"/>
                <w:szCs w:val="20"/>
              </w:rPr>
            </w:pPr>
          </w:p>
          <w:p w:rsidR="00B57064" w:rsidRPr="00B57064" w:rsidRDefault="00B57064" w:rsidP="00B57064">
            <w:pPr>
              <w:jc w:val="center"/>
              <w:rPr>
                <w:rFonts w:ascii="Arial" w:hAnsi="Arial" w:cs="Arial"/>
                <w:sz w:val="20"/>
                <w:szCs w:val="20"/>
              </w:rPr>
            </w:pPr>
            <w:r w:rsidRPr="00B57064">
              <w:rPr>
                <w:rFonts w:ascii="Arial" w:hAnsi="Arial" w:cs="Arial"/>
                <w:sz w:val="20"/>
                <w:szCs w:val="20"/>
              </w:rPr>
              <w:t>41.2%</w:t>
            </w:r>
          </w:p>
        </w:tc>
        <w:tc>
          <w:tcPr>
            <w:tcW w:w="4527" w:type="dxa"/>
            <w:shd w:val="clear" w:color="auto" w:fill="auto"/>
          </w:tcPr>
          <w:p w:rsidR="00B57064" w:rsidRPr="00B57064" w:rsidRDefault="00B57064" w:rsidP="00B57064">
            <w:pPr>
              <w:rPr>
                <w:rFonts w:ascii="Arial" w:hAnsi="Arial" w:cs="Arial"/>
                <w:sz w:val="20"/>
                <w:szCs w:val="20"/>
              </w:rPr>
            </w:pPr>
          </w:p>
          <w:p w:rsidR="00B57064" w:rsidRPr="00B57064" w:rsidRDefault="00B57064" w:rsidP="00B57064">
            <w:pPr>
              <w:rPr>
                <w:rFonts w:ascii="Arial" w:hAnsi="Arial" w:cs="Arial"/>
                <w:sz w:val="20"/>
                <w:szCs w:val="20"/>
              </w:rPr>
            </w:pPr>
            <w:r w:rsidRPr="00B57064">
              <w:rPr>
                <w:rFonts w:ascii="Arial" w:hAnsi="Arial" w:cs="Arial"/>
                <w:sz w:val="20"/>
                <w:szCs w:val="20"/>
              </w:rPr>
              <w:t>-1.4%</w:t>
            </w:r>
          </w:p>
          <w:p w:rsidR="00B57064" w:rsidRPr="00B57064" w:rsidRDefault="00B57064" w:rsidP="00B57064">
            <w:pPr>
              <w:rPr>
                <w:rFonts w:ascii="Arial" w:hAnsi="Arial" w:cs="Arial"/>
                <w:sz w:val="20"/>
                <w:szCs w:val="20"/>
              </w:rPr>
            </w:pPr>
            <w:r w:rsidRPr="00B57064">
              <w:rPr>
                <w:rFonts w:ascii="Arial" w:hAnsi="Arial" w:cs="Arial"/>
                <w:sz w:val="20"/>
                <w:szCs w:val="20"/>
              </w:rPr>
              <w:t>ASHE 2013 (general medical practice activities)</w:t>
            </w:r>
          </w:p>
        </w:tc>
        <w:tc>
          <w:tcPr>
            <w:tcW w:w="2396" w:type="dxa"/>
            <w:shd w:val="clear" w:color="auto" w:fill="auto"/>
          </w:tcPr>
          <w:p w:rsidR="00B57064" w:rsidRPr="00B57064" w:rsidRDefault="00B57064" w:rsidP="00B57064">
            <w:pPr>
              <w:ind w:right="571"/>
              <w:rPr>
                <w:rFonts w:ascii="Arial" w:hAnsi="Arial" w:cs="Arial"/>
                <w:b/>
                <w:sz w:val="20"/>
                <w:szCs w:val="20"/>
              </w:rPr>
            </w:pPr>
          </w:p>
          <w:p w:rsidR="00B57064" w:rsidRPr="00B57064" w:rsidRDefault="00B57064" w:rsidP="00B57064">
            <w:pPr>
              <w:ind w:right="571"/>
              <w:jc w:val="right"/>
              <w:rPr>
                <w:rFonts w:ascii="Arial" w:hAnsi="Arial" w:cs="Arial"/>
                <w:sz w:val="20"/>
                <w:szCs w:val="20"/>
              </w:rPr>
            </w:pPr>
            <w:r w:rsidRPr="00B57064">
              <w:rPr>
                <w:rFonts w:ascii="Arial" w:hAnsi="Arial" w:cs="Arial"/>
                <w:sz w:val="20"/>
                <w:szCs w:val="20"/>
              </w:rPr>
              <w:t>-0.58%</w:t>
            </w:r>
          </w:p>
        </w:tc>
      </w:tr>
      <w:tr w:rsidR="00B57064" w:rsidRPr="00B57064" w:rsidTr="00C02059">
        <w:trPr>
          <w:trHeight w:val="57"/>
        </w:trPr>
        <w:tc>
          <w:tcPr>
            <w:tcW w:w="1661" w:type="dxa"/>
            <w:shd w:val="clear" w:color="auto" w:fill="auto"/>
          </w:tcPr>
          <w:p w:rsidR="00B57064" w:rsidRPr="00B57064" w:rsidRDefault="00B57064" w:rsidP="00C02059">
            <w:pPr>
              <w:rPr>
                <w:rFonts w:ascii="Arial" w:hAnsi="Arial" w:cs="Arial"/>
                <w:b/>
                <w:sz w:val="20"/>
                <w:szCs w:val="20"/>
              </w:rPr>
            </w:pPr>
          </w:p>
          <w:p w:rsidR="00B57064" w:rsidRPr="00B57064" w:rsidRDefault="00B57064" w:rsidP="00C02059">
            <w:pPr>
              <w:rPr>
                <w:rFonts w:ascii="Arial" w:hAnsi="Arial" w:cs="Arial"/>
                <w:sz w:val="20"/>
                <w:szCs w:val="20"/>
              </w:rPr>
            </w:pPr>
            <w:r w:rsidRPr="00B57064">
              <w:rPr>
                <w:rFonts w:ascii="Arial" w:hAnsi="Arial" w:cs="Arial"/>
                <w:sz w:val="20"/>
                <w:szCs w:val="20"/>
              </w:rPr>
              <w:t>Other costs</w:t>
            </w:r>
          </w:p>
        </w:tc>
        <w:tc>
          <w:tcPr>
            <w:tcW w:w="992" w:type="dxa"/>
            <w:shd w:val="clear" w:color="auto" w:fill="auto"/>
          </w:tcPr>
          <w:p w:rsidR="00B57064" w:rsidRPr="00B57064" w:rsidRDefault="00B57064" w:rsidP="00B57064">
            <w:pPr>
              <w:jc w:val="center"/>
              <w:rPr>
                <w:rFonts w:ascii="Arial" w:hAnsi="Arial" w:cs="Arial"/>
                <w:b/>
                <w:sz w:val="20"/>
                <w:szCs w:val="20"/>
              </w:rPr>
            </w:pPr>
          </w:p>
          <w:p w:rsidR="00B57064" w:rsidRPr="00B57064" w:rsidRDefault="00B57064" w:rsidP="00B57064">
            <w:pPr>
              <w:jc w:val="center"/>
              <w:rPr>
                <w:rFonts w:ascii="Arial" w:hAnsi="Arial" w:cs="Arial"/>
                <w:sz w:val="20"/>
                <w:szCs w:val="20"/>
              </w:rPr>
            </w:pPr>
            <w:r w:rsidRPr="00B57064">
              <w:rPr>
                <w:rFonts w:ascii="Arial" w:hAnsi="Arial" w:cs="Arial"/>
                <w:sz w:val="20"/>
                <w:szCs w:val="20"/>
              </w:rPr>
              <w:t>15.8%</w:t>
            </w:r>
          </w:p>
        </w:tc>
        <w:tc>
          <w:tcPr>
            <w:tcW w:w="4527" w:type="dxa"/>
            <w:shd w:val="clear" w:color="auto" w:fill="auto"/>
          </w:tcPr>
          <w:p w:rsidR="00B57064" w:rsidRPr="00B57064" w:rsidRDefault="00B57064" w:rsidP="00B57064">
            <w:pPr>
              <w:rPr>
                <w:rFonts w:ascii="Arial" w:hAnsi="Arial" w:cs="Arial"/>
                <w:sz w:val="20"/>
                <w:szCs w:val="20"/>
              </w:rPr>
            </w:pPr>
          </w:p>
          <w:p w:rsidR="00B57064" w:rsidRPr="00B57064" w:rsidRDefault="00B57064" w:rsidP="00B57064">
            <w:pPr>
              <w:rPr>
                <w:rFonts w:ascii="Arial" w:hAnsi="Arial" w:cs="Arial"/>
                <w:sz w:val="20"/>
                <w:szCs w:val="20"/>
              </w:rPr>
            </w:pPr>
            <w:r w:rsidRPr="00B57064">
              <w:rPr>
                <w:rFonts w:ascii="Arial" w:hAnsi="Arial" w:cs="Arial"/>
                <w:sz w:val="20"/>
                <w:szCs w:val="20"/>
              </w:rPr>
              <w:t>2.7%</w:t>
            </w:r>
          </w:p>
          <w:p w:rsidR="00B57064" w:rsidRPr="00B57064" w:rsidRDefault="00B57064" w:rsidP="00B57064">
            <w:pPr>
              <w:rPr>
                <w:rFonts w:ascii="Arial" w:hAnsi="Arial" w:cs="Arial"/>
                <w:sz w:val="20"/>
                <w:szCs w:val="20"/>
              </w:rPr>
            </w:pPr>
            <w:r w:rsidRPr="00B57064">
              <w:rPr>
                <w:rFonts w:ascii="Arial" w:hAnsi="Arial" w:cs="Arial"/>
                <w:sz w:val="20"/>
                <w:szCs w:val="20"/>
              </w:rPr>
              <w:t>RPIX for Q4 2014</w:t>
            </w:r>
          </w:p>
        </w:tc>
        <w:tc>
          <w:tcPr>
            <w:tcW w:w="2396" w:type="dxa"/>
            <w:shd w:val="clear" w:color="auto" w:fill="auto"/>
          </w:tcPr>
          <w:p w:rsidR="00B57064" w:rsidRPr="00B57064" w:rsidRDefault="00B57064" w:rsidP="00B57064">
            <w:pPr>
              <w:ind w:right="571"/>
              <w:rPr>
                <w:rFonts w:ascii="Arial" w:hAnsi="Arial" w:cs="Arial"/>
                <w:b/>
                <w:sz w:val="20"/>
                <w:szCs w:val="20"/>
              </w:rPr>
            </w:pPr>
          </w:p>
          <w:p w:rsidR="00B57064" w:rsidRPr="00B57064" w:rsidRDefault="00B57064" w:rsidP="00B57064">
            <w:pPr>
              <w:ind w:right="571"/>
              <w:jc w:val="right"/>
              <w:rPr>
                <w:rFonts w:ascii="Arial" w:hAnsi="Arial" w:cs="Arial"/>
                <w:sz w:val="20"/>
                <w:szCs w:val="20"/>
              </w:rPr>
            </w:pPr>
            <w:r w:rsidRPr="00B57064">
              <w:rPr>
                <w:rFonts w:ascii="Arial" w:hAnsi="Arial" w:cs="Arial"/>
                <w:sz w:val="20"/>
                <w:szCs w:val="20"/>
              </w:rPr>
              <w:t>0.43%</w:t>
            </w:r>
          </w:p>
        </w:tc>
      </w:tr>
      <w:tr w:rsidR="00B57064" w:rsidRPr="00B57064" w:rsidTr="00C02059">
        <w:trPr>
          <w:trHeight w:val="57"/>
        </w:trPr>
        <w:tc>
          <w:tcPr>
            <w:tcW w:w="9576" w:type="dxa"/>
            <w:gridSpan w:val="4"/>
            <w:shd w:val="clear" w:color="auto" w:fill="auto"/>
          </w:tcPr>
          <w:p w:rsidR="00B57064" w:rsidRPr="00B57064" w:rsidRDefault="00B57064" w:rsidP="00B57064">
            <w:pPr>
              <w:ind w:right="571"/>
              <w:jc w:val="right"/>
              <w:rPr>
                <w:rFonts w:ascii="Arial" w:hAnsi="Arial" w:cs="Arial"/>
                <w:b/>
                <w:sz w:val="20"/>
                <w:szCs w:val="20"/>
              </w:rPr>
            </w:pPr>
            <w:r w:rsidRPr="00B57064">
              <w:rPr>
                <w:rFonts w:ascii="Arial" w:hAnsi="Arial" w:cs="Arial"/>
                <w:b/>
                <w:sz w:val="20"/>
                <w:szCs w:val="20"/>
              </w:rPr>
              <w:t>0.28%</w:t>
            </w:r>
          </w:p>
        </w:tc>
      </w:tr>
    </w:tbl>
    <w:p w:rsidR="00B57064" w:rsidRPr="00B57064" w:rsidRDefault="00B57064" w:rsidP="00B57064">
      <w:pPr>
        <w:jc w:val="both"/>
        <w:rPr>
          <w:rFonts w:ascii="Arial" w:hAnsi="Arial" w:cs="Arial"/>
          <w:sz w:val="20"/>
          <w:szCs w:val="20"/>
        </w:rPr>
      </w:pPr>
    </w:p>
    <w:p w:rsidR="00B57064" w:rsidRPr="00B57064" w:rsidRDefault="00B57064" w:rsidP="00B57064">
      <w:pPr>
        <w:jc w:val="both"/>
        <w:rPr>
          <w:rFonts w:ascii="Arial" w:hAnsi="Arial" w:cs="Arial"/>
          <w:sz w:val="20"/>
          <w:szCs w:val="20"/>
        </w:rPr>
      </w:pPr>
      <w:r w:rsidRPr="00B57064">
        <w:rPr>
          <w:rFonts w:ascii="Arial" w:hAnsi="Arial" w:cs="Arial"/>
          <w:sz w:val="20"/>
          <w:szCs w:val="20"/>
        </w:rPr>
        <w:t>Salaried GPs (under the Model BMA Contract) will receive a 1% increase, and the trainers grant – after many years’ prevarication in discussions – is to rise by 1%.</w:t>
      </w:r>
    </w:p>
    <w:p w:rsidR="00B57064" w:rsidRPr="00B57064" w:rsidRDefault="00B57064" w:rsidP="00B57064">
      <w:pPr>
        <w:jc w:val="both"/>
        <w:rPr>
          <w:rFonts w:ascii="Arial" w:hAnsi="Arial" w:cs="Arial"/>
          <w:sz w:val="20"/>
          <w:szCs w:val="20"/>
        </w:rPr>
      </w:pPr>
    </w:p>
    <w:p w:rsidR="00B57064" w:rsidRPr="00B57064" w:rsidRDefault="00B57064" w:rsidP="00B57064">
      <w:pPr>
        <w:jc w:val="both"/>
        <w:rPr>
          <w:rFonts w:ascii="Arial" w:hAnsi="Arial" w:cs="Arial"/>
          <w:sz w:val="20"/>
          <w:szCs w:val="20"/>
        </w:rPr>
      </w:pPr>
      <w:r w:rsidRPr="00B57064">
        <w:rPr>
          <w:rFonts w:ascii="Arial" w:hAnsi="Arial" w:cs="Arial"/>
          <w:sz w:val="20"/>
          <w:szCs w:val="20"/>
        </w:rPr>
        <w:t>The DH has also announced that the DDRB will not be asked to make recommendations on a pay award for employed doctors (or dentists) for 2015/16, but will report for independent contractor GPs.</w:t>
      </w:r>
    </w:p>
    <w:p w:rsidR="00B57064" w:rsidRPr="00B57064" w:rsidRDefault="00B57064" w:rsidP="00B57064">
      <w:pPr>
        <w:rPr>
          <w:rFonts w:ascii="Arial" w:hAnsi="Arial" w:cs="Arial"/>
          <w:sz w:val="20"/>
          <w:szCs w:val="20"/>
        </w:rPr>
      </w:pPr>
    </w:p>
    <w:p w:rsidR="00B57064" w:rsidRPr="00B57064" w:rsidRDefault="00B57064" w:rsidP="00B57064">
      <w:pPr>
        <w:jc w:val="both"/>
        <w:rPr>
          <w:rFonts w:ascii="Arial" w:hAnsi="Arial" w:cs="Arial"/>
          <w:b/>
          <w:sz w:val="20"/>
          <w:szCs w:val="20"/>
        </w:rPr>
      </w:pPr>
      <w:r w:rsidRPr="00B57064">
        <w:rPr>
          <w:rFonts w:ascii="Arial" w:hAnsi="Arial" w:cs="Arial"/>
          <w:b/>
          <w:sz w:val="20"/>
          <w:szCs w:val="20"/>
        </w:rPr>
        <w:t>QOF Extraction Arrangements</w:t>
      </w:r>
    </w:p>
    <w:p w:rsidR="00B57064" w:rsidRPr="00B57064" w:rsidRDefault="00B57064" w:rsidP="00B57064">
      <w:pPr>
        <w:jc w:val="both"/>
        <w:rPr>
          <w:rFonts w:ascii="Arial" w:hAnsi="Arial" w:cs="Arial"/>
          <w:sz w:val="20"/>
          <w:szCs w:val="20"/>
        </w:rPr>
      </w:pPr>
      <w:r w:rsidRPr="00B57064">
        <w:rPr>
          <w:rFonts w:ascii="Arial" w:hAnsi="Arial" w:cs="Arial"/>
          <w:sz w:val="20"/>
          <w:szCs w:val="20"/>
        </w:rPr>
        <w:t>The HSCIC has written to all practices setting out details of the GPES data-extraction process for the 2013/14 QOF, and I have noted this to all practices.</w:t>
      </w:r>
    </w:p>
    <w:p w:rsidR="00B57064" w:rsidRPr="00B57064" w:rsidRDefault="00B57064" w:rsidP="00B57064">
      <w:pPr>
        <w:jc w:val="both"/>
        <w:rPr>
          <w:rFonts w:ascii="Arial" w:hAnsi="Arial" w:cs="Arial"/>
          <w:sz w:val="20"/>
          <w:szCs w:val="20"/>
        </w:rPr>
      </w:pPr>
    </w:p>
    <w:p w:rsidR="00B57064" w:rsidRPr="00B57064" w:rsidRDefault="003B63BE" w:rsidP="00B57064">
      <w:pPr>
        <w:jc w:val="both"/>
        <w:rPr>
          <w:rFonts w:ascii="Arial" w:hAnsi="Arial" w:cs="Arial"/>
          <w:bCs/>
          <w:sz w:val="20"/>
          <w:szCs w:val="20"/>
        </w:rPr>
      </w:pPr>
      <w:hyperlink r:id="rId10" w:history="1">
        <w:r w:rsidR="00B57064" w:rsidRPr="00B57064">
          <w:rPr>
            <w:rStyle w:val="Hyperlink"/>
            <w:rFonts w:ascii="Arial" w:hAnsi="Arial" w:cs="Arial"/>
            <w:bCs/>
            <w:color w:val="00B0F0"/>
            <w:sz w:val="20"/>
            <w:szCs w:val="20"/>
          </w:rPr>
          <w:t>http://www.hscic.gov.uk/media/13647/GPES-QOF-13-14-Letter-to-Practice-Managers/pdf/GPES_QOF_13-14_Letter_to_Practice_Managers_Feb_2014.pdf</w:t>
        </w:r>
      </w:hyperlink>
      <w:r w:rsidR="00B57064">
        <w:rPr>
          <w:rStyle w:val="Hyperlink"/>
          <w:rFonts w:ascii="Arial" w:hAnsi="Arial" w:cs="Arial"/>
          <w:bCs/>
          <w:color w:val="000000"/>
          <w:sz w:val="20"/>
          <w:szCs w:val="20"/>
        </w:rPr>
        <w:t xml:space="preserve">  </w:t>
      </w:r>
      <w:r w:rsidR="00B57064" w:rsidRPr="00B57064">
        <w:rPr>
          <w:rStyle w:val="Hyperlink"/>
          <w:rFonts w:ascii="Arial" w:hAnsi="Arial" w:cs="Arial"/>
          <w:bCs/>
          <w:color w:val="000000"/>
          <w:sz w:val="20"/>
          <w:szCs w:val="20"/>
        </w:rPr>
        <w:t xml:space="preserve"> </w:t>
      </w:r>
      <w:r w:rsidR="00B57064" w:rsidRPr="00B57064">
        <w:rPr>
          <w:rFonts w:ascii="Arial" w:hAnsi="Arial" w:cs="Arial"/>
          <w:bCs/>
          <w:sz w:val="20"/>
          <w:szCs w:val="20"/>
        </w:rPr>
        <w:t xml:space="preserve">  </w:t>
      </w:r>
    </w:p>
    <w:p w:rsidR="00B57064" w:rsidRPr="00B57064" w:rsidRDefault="00B57064" w:rsidP="00B57064">
      <w:pPr>
        <w:jc w:val="both"/>
        <w:rPr>
          <w:rFonts w:ascii="Arial" w:hAnsi="Arial" w:cs="Arial"/>
          <w:bCs/>
          <w:sz w:val="20"/>
          <w:szCs w:val="20"/>
        </w:rPr>
      </w:pPr>
    </w:p>
    <w:p w:rsidR="00B57064" w:rsidRPr="00B57064" w:rsidRDefault="00B57064" w:rsidP="00B57064">
      <w:pPr>
        <w:jc w:val="both"/>
        <w:rPr>
          <w:rFonts w:ascii="Arial" w:hAnsi="Arial" w:cs="Arial"/>
          <w:bCs/>
          <w:sz w:val="20"/>
          <w:szCs w:val="20"/>
        </w:rPr>
      </w:pPr>
      <w:r w:rsidRPr="00B57064">
        <w:rPr>
          <w:rFonts w:ascii="Arial" w:hAnsi="Arial" w:cs="Arial"/>
          <w:bCs/>
          <w:sz w:val="20"/>
          <w:szCs w:val="20"/>
        </w:rPr>
        <w:t>The HSCIC has admitted drawing up contingency plans to pay GPs should the GPES or CQRS systems not work appropriately, although it is not clear how extensive or significant the ‘technical issues’ noted in the HSCIC’s February Board Meeting are.</w:t>
      </w:r>
    </w:p>
    <w:p w:rsidR="00B57064" w:rsidRPr="001F412B" w:rsidRDefault="00B57064" w:rsidP="00B57064">
      <w:pPr>
        <w:jc w:val="both"/>
        <w:rPr>
          <w:rFonts w:ascii="Arial" w:hAnsi="Arial" w:cs="Arial"/>
          <w:sz w:val="20"/>
          <w:szCs w:val="20"/>
        </w:rPr>
      </w:pPr>
    </w:p>
    <w:p w:rsidR="003F5FC7" w:rsidRPr="003F5FC7" w:rsidRDefault="003F5FC7" w:rsidP="003F5FC7">
      <w:pPr>
        <w:jc w:val="both"/>
        <w:rPr>
          <w:rFonts w:ascii="Arial" w:hAnsi="Arial" w:cs="Arial"/>
          <w:b/>
          <w:sz w:val="20"/>
          <w:szCs w:val="20"/>
        </w:rPr>
      </w:pPr>
      <w:proofErr w:type="spellStart"/>
      <w:r w:rsidRPr="003F5FC7">
        <w:rPr>
          <w:rFonts w:ascii="Arial" w:hAnsi="Arial" w:cs="Arial"/>
          <w:b/>
          <w:sz w:val="20"/>
          <w:szCs w:val="20"/>
        </w:rPr>
        <w:t>Care.data</w:t>
      </w:r>
      <w:proofErr w:type="spellEnd"/>
      <w:r w:rsidR="00D44E08">
        <w:rPr>
          <w:rFonts w:ascii="Arial" w:hAnsi="Arial" w:cs="Arial"/>
          <w:b/>
          <w:sz w:val="20"/>
          <w:szCs w:val="20"/>
        </w:rPr>
        <w:t xml:space="preserve"> (Update)</w:t>
      </w:r>
      <w:r w:rsidRPr="003F5FC7">
        <w:rPr>
          <w:rFonts w:ascii="Arial" w:hAnsi="Arial" w:cs="Arial"/>
          <w:b/>
          <w:sz w:val="20"/>
          <w:szCs w:val="20"/>
        </w:rPr>
        <w:t xml:space="preserve"> </w:t>
      </w:r>
    </w:p>
    <w:p w:rsidR="00B57064" w:rsidRPr="00D44E08" w:rsidRDefault="00B57064" w:rsidP="00B57064">
      <w:pPr>
        <w:jc w:val="both"/>
        <w:rPr>
          <w:rFonts w:ascii="Arial" w:hAnsi="Arial" w:cs="Arial"/>
          <w:sz w:val="20"/>
          <w:szCs w:val="20"/>
        </w:rPr>
      </w:pPr>
      <w:r w:rsidRPr="00B57064">
        <w:rPr>
          <w:rFonts w:ascii="Arial" w:hAnsi="Arial" w:cs="Arial"/>
          <w:sz w:val="20"/>
          <w:szCs w:val="20"/>
        </w:rPr>
        <w:t xml:space="preserve">Since the deferment of the programme was announced I have written to practices advising that any opt-out requests received should continue to be coded, in the patients’ notes, but no other action e.g. distributing </w:t>
      </w:r>
      <w:r w:rsidRPr="00D44E08">
        <w:rPr>
          <w:rFonts w:ascii="Arial" w:hAnsi="Arial" w:cs="Arial"/>
          <w:sz w:val="20"/>
          <w:szCs w:val="20"/>
        </w:rPr>
        <w:t>leaflets to newly registered patients, should be taken as it is likely the programme will have a ‘new start’ in the Autumn and this may involve amended publicity and a different mailing to households.</w:t>
      </w:r>
    </w:p>
    <w:p w:rsidR="003F5FC7" w:rsidRPr="00D44E08" w:rsidRDefault="003F5FC7" w:rsidP="003F5FC7">
      <w:pPr>
        <w:jc w:val="both"/>
        <w:rPr>
          <w:rFonts w:ascii="Arial" w:hAnsi="Arial" w:cs="Arial"/>
          <w:b/>
          <w:sz w:val="20"/>
          <w:szCs w:val="20"/>
        </w:rPr>
      </w:pPr>
    </w:p>
    <w:p w:rsidR="00D44E08" w:rsidRPr="00D44E08" w:rsidRDefault="00D44E08" w:rsidP="00D44E08">
      <w:pPr>
        <w:rPr>
          <w:rFonts w:ascii="Arial" w:hAnsi="Arial" w:cs="Arial"/>
          <w:b/>
          <w:sz w:val="20"/>
          <w:szCs w:val="20"/>
        </w:rPr>
      </w:pPr>
      <w:r w:rsidRPr="00D44E08">
        <w:rPr>
          <w:rFonts w:ascii="Arial" w:hAnsi="Arial" w:cs="Arial"/>
          <w:b/>
          <w:sz w:val="20"/>
          <w:szCs w:val="20"/>
        </w:rPr>
        <w:t>Appraisers Contract</w:t>
      </w:r>
    </w:p>
    <w:p w:rsidR="00D44E08" w:rsidRPr="00D44E08" w:rsidRDefault="00D44E08" w:rsidP="00D44E08">
      <w:pPr>
        <w:jc w:val="both"/>
        <w:rPr>
          <w:rFonts w:ascii="Arial" w:hAnsi="Arial" w:cs="Arial"/>
          <w:sz w:val="20"/>
          <w:szCs w:val="20"/>
        </w:rPr>
      </w:pPr>
      <w:r w:rsidRPr="00D44E08">
        <w:rPr>
          <w:rFonts w:ascii="Arial" w:hAnsi="Arial" w:cs="Arial"/>
          <w:sz w:val="20"/>
          <w:szCs w:val="20"/>
        </w:rPr>
        <w:t xml:space="preserve">There have been some significant concerns about the new, generic, Appraisers Contract, imposed by NHS England.  Obviously the Area Team does not have the discretion to vary this contract or offer a different one, and so most of the concerns have been referred back to a national setting and further information is awaited.  The problem of locum Appraisers being unable to NHS superannuate their Appraiser income has been resolved, positively, from April 2014, and it is unlikely indemnity rates will rise for GPs who become Appraisers as the Indemnity Organisations see the role as low risk, although GPs should note to their IOs they are undertaking this work. </w:t>
      </w:r>
    </w:p>
    <w:p w:rsidR="00D44E08" w:rsidRPr="00D44E08" w:rsidRDefault="00D44E08" w:rsidP="00D44E08">
      <w:pPr>
        <w:jc w:val="both"/>
        <w:rPr>
          <w:rFonts w:ascii="Arial" w:hAnsi="Arial" w:cs="Arial"/>
          <w:bCs/>
          <w:sz w:val="20"/>
          <w:szCs w:val="20"/>
        </w:rPr>
      </w:pPr>
    </w:p>
    <w:p w:rsidR="00D44E08" w:rsidRPr="00D44E08" w:rsidRDefault="00D44E08" w:rsidP="00D44E08">
      <w:pPr>
        <w:jc w:val="both"/>
        <w:rPr>
          <w:rFonts w:ascii="Arial" w:hAnsi="Arial" w:cs="Arial"/>
          <w:b/>
          <w:bCs/>
          <w:sz w:val="20"/>
          <w:szCs w:val="20"/>
        </w:rPr>
      </w:pPr>
      <w:r>
        <w:rPr>
          <w:rFonts w:ascii="Arial" w:hAnsi="Arial" w:cs="Arial"/>
          <w:b/>
          <w:bCs/>
          <w:sz w:val="20"/>
          <w:szCs w:val="20"/>
        </w:rPr>
        <w:t>Drug Tariff</w:t>
      </w:r>
      <w:r w:rsidRPr="00D44E08">
        <w:rPr>
          <w:rFonts w:ascii="Arial" w:hAnsi="Arial" w:cs="Arial"/>
          <w:b/>
          <w:bCs/>
          <w:sz w:val="20"/>
          <w:szCs w:val="20"/>
        </w:rPr>
        <w:t xml:space="preserve"> News</w:t>
      </w:r>
    </w:p>
    <w:p w:rsidR="00D44E08" w:rsidRPr="00D44E08" w:rsidRDefault="00D44E08" w:rsidP="00D44E08">
      <w:pPr>
        <w:jc w:val="both"/>
        <w:rPr>
          <w:rFonts w:ascii="Arial" w:hAnsi="Arial" w:cs="Arial"/>
          <w:bCs/>
          <w:sz w:val="20"/>
          <w:szCs w:val="20"/>
        </w:rPr>
      </w:pPr>
      <w:r w:rsidRPr="00D44E08">
        <w:rPr>
          <w:rFonts w:ascii="Arial" w:hAnsi="Arial" w:cs="Arial"/>
          <w:bCs/>
          <w:sz w:val="20"/>
          <w:szCs w:val="20"/>
        </w:rPr>
        <w:t xml:space="preserve">The Government has announced the Category M tariff prices which will apply from April 2014.  This is available at: </w:t>
      </w:r>
      <w:hyperlink r:id="rId11" w:history="1">
        <w:r w:rsidRPr="00D44E08">
          <w:rPr>
            <w:rStyle w:val="Hyperlink"/>
            <w:rFonts w:ascii="Arial" w:hAnsi="Arial" w:cs="Arial"/>
            <w:bCs/>
            <w:sz w:val="20"/>
            <w:szCs w:val="20"/>
          </w:rPr>
          <w:t>http://www.nhsbsa.nhs.uk/4459.aspx</w:t>
        </w:r>
      </w:hyperlink>
    </w:p>
    <w:p w:rsidR="00D44E08" w:rsidRPr="00D44E08" w:rsidRDefault="00D44E08" w:rsidP="00D44E08">
      <w:pPr>
        <w:jc w:val="both"/>
        <w:rPr>
          <w:rFonts w:ascii="Arial" w:hAnsi="Arial" w:cs="Arial"/>
          <w:b/>
          <w:bCs/>
          <w:sz w:val="20"/>
          <w:szCs w:val="20"/>
        </w:rPr>
      </w:pPr>
    </w:p>
    <w:p w:rsidR="00D44E08" w:rsidRPr="002336D0" w:rsidRDefault="00D44E08" w:rsidP="00D44E08">
      <w:pPr>
        <w:rPr>
          <w:rFonts w:ascii="Arial" w:hAnsi="Arial" w:cs="Arial"/>
          <w:sz w:val="22"/>
          <w:szCs w:val="22"/>
        </w:rPr>
      </w:pPr>
      <w:r w:rsidRPr="00D44E08">
        <w:rPr>
          <w:rFonts w:ascii="Arial" w:hAnsi="Arial" w:cs="Arial"/>
          <w:sz w:val="20"/>
          <w:szCs w:val="20"/>
        </w:rPr>
        <w:t>Approximately 88% products will fall in reimbursement price, producing an average cost pressure of £7,300 for dispensing practices according to the Dispensing Doctors Association</w:t>
      </w:r>
      <w:r w:rsidRPr="002336D0">
        <w:rPr>
          <w:rFonts w:ascii="Arial" w:hAnsi="Arial" w:cs="Arial"/>
          <w:sz w:val="22"/>
          <w:szCs w:val="22"/>
        </w:rPr>
        <w:t>.</w:t>
      </w:r>
    </w:p>
    <w:p w:rsidR="003F5FC7" w:rsidRPr="003F5FC7" w:rsidRDefault="003F5FC7" w:rsidP="003F5FC7">
      <w:pPr>
        <w:jc w:val="both"/>
        <w:rPr>
          <w:rFonts w:ascii="Arial" w:hAnsi="Arial" w:cs="Arial"/>
          <w:sz w:val="20"/>
          <w:szCs w:val="20"/>
        </w:rPr>
      </w:pPr>
    </w:p>
    <w:p w:rsidR="00F4461B" w:rsidRDefault="00F4461B" w:rsidP="003F5FC7">
      <w:pPr>
        <w:jc w:val="right"/>
        <w:rPr>
          <w:rFonts w:ascii="Arial" w:hAnsi="Arial" w:cs="Arial"/>
          <w:sz w:val="20"/>
          <w:szCs w:val="20"/>
        </w:rPr>
      </w:pPr>
    </w:p>
    <w:p w:rsidR="00F4461B" w:rsidRDefault="00F4461B" w:rsidP="003F5FC7">
      <w:pPr>
        <w:jc w:val="right"/>
        <w:rPr>
          <w:rFonts w:ascii="Arial" w:hAnsi="Arial" w:cs="Arial"/>
          <w:sz w:val="20"/>
          <w:szCs w:val="20"/>
        </w:rPr>
      </w:pPr>
    </w:p>
    <w:p w:rsidR="00F4461B" w:rsidRDefault="00F4461B" w:rsidP="003F5FC7">
      <w:pPr>
        <w:jc w:val="right"/>
        <w:rPr>
          <w:rFonts w:ascii="Arial" w:hAnsi="Arial" w:cs="Arial"/>
          <w:sz w:val="20"/>
          <w:szCs w:val="20"/>
        </w:rPr>
      </w:pPr>
    </w:p>
    <w:p w:rsidR="00F4461B" w:rsidRDefault="00F4461B" w:rsidP="003F5FC7">
      <w:pPr>
        <w:jc w:val="right"/>
        <w:rPr>
          <w:rFonts w:ascii="Arial" w:hAnsi="Arial" w:cs="Arial"/>
          <w:sz w:val="20"/>
          <w:szCs w:val="20"/>
        </w:rPr>
      </w:pPr>
    </w:p>
    <w:p w:rsidR="003F5FC7" w:rsidRPr="003F5FC7" w:rsidRDefault="003F5FC7" w:rsidP="003F5FC7">
      <w:pPr>
        <w:jc w:val="right"/>
        <w:rPr>
          <w:rFonts w:ascii="Arial" w:hAnsi="Arial" w:cs="Arial"/>
          <w:sz w:val="20"/>
          <w:szCs w:val="20"/>
        </w:rPr>
      </w:pPr>
      <w:bookmarkStart w:id="0" w:name="_GoBack"/>
      <w:bookmarkEnd w:id="0"/>
      <w:r w:rsidRPr="003F5FC7">
        <w:rPr>
          <w:rFonts w:ascii="Arial" w:hAnsi="Arial" w:cs="Arial"/>
          <w:sz w:val="20"/>
          <w:szCs w:val="20"/>
        </w:rPr>
        <w:t>Dr Julius Parker</w:t>
      </w:r>
    </w:p>
    <w:p w:rsidR="003F5FC7" w:rsidRPr="00F4461B" w:rsidRDefault="003F5FC7" w:rsidP="003F5FC7">
      <w:pPr>
        <w:jc w:val="right"/>
        <w:rPr>
          <w:rFonts w:ascii="Arial" w:hAnsi="Arial" w:cs="Arial"/>
          <w:sz w:val="20"/>
          <w:szCs w:val="20"/>
        </w:rPr>
      </w:pPr>
      <w:r w:rsidRPr="00F4461B">
        <w:rPr>
          <w:rFonts w:ascii="Arial" w:hAnsi="Arial" w:cs="Arial"/>
          <w:sz w:val="20"/>
          <w:szCs w:val="20"/>
        </w:rPr>
        <w:t>Chief Executive</w:t>
      </w:r>
    </w:p>
    <w:sectPr w:rsidR="003F5FC7" w:rsidRPr="00F4461B" w:rsidSect="00D2136E">
      <w:footerReference w:type="even" r:id="rId12"/>
      <w:footerReference w:type="default" r:id="rId13"/>
      <w:footerReference w:type="first" r:id="rId14"/>
      <w:pgSz w:w="12240" w:h="15840" w:code="1"/>
      <w:pgMar w:top="567" w:right="1134"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BE" w:rsidRDefault="003B63BE">
      <w:r>
        <w:separator/>
      </w:r>
    </w:p>
  </w:endnote>
  <w:endnote w:type="continuationSeparator" w:id="0">
    <w:p w:rsidR="003B63BE" w:rsidRDefault="003B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altName w:val="Arial"/>
    <w:panose1 w:val="00000000000000000000"/>
    <w:charset w:val="00"/>
    <w:family w:val="moder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HITVYR+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Century Gothic"/>
    <w:charset w:val="00"/>
    <w:family w:val="swiss"/>
    <w:pitch w:val="variable"/>
    <w:sig w:usb0="00000001" w:usb1="00000000" w:usb2="00000000" w:usb3="00000000" w:csb0="00000003" w:csb1="00000000"/>
  </w:font>
  <w:font w:name="Gill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rsidP="00F13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A39" w:rsidRDefault="00727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Pr="0024340F" w:rsidRDefault="00727A39" w:rsidP="00F136D0">
    <w:pPr>
      <w:pStyle w:val="Footer"/>
      <w:framePr w:wrap="around" w:vAnchor="text" w:hAnchor="margin" w:xAlign="center" w:y="1"/>
      <w:rPr>
        <w:rStyle w:val="PageNumber"/>
        <w:rFonts w:ascii="Arial" w:hAnsi="Arial" w:cs="Arial"/>
        <w:sz w:val="18"/>
        <w:szCs w:val="18"/>
      </w:rPr>
    </w:pPr>
    <w:r w:rsidRPr="0024340F">
      <w:rPr>
        <w:rStyle w:val="PageNumber"/>
        <w:rFonts w:ascii="Arial" w:hAnsi="Arial" w:cs="Arial"/>
        <w:sz w:val="18"/>
        <w:szCs w:val="18"/>
      </w:rPr>
      <w:fldChar w:fldCharType="begin"/>
    </w:r>
    <w:r w:rsidRPr="0024340F">
      <w:rPr>
        <w:rStyle w:val="PageNumber"/>
        <w:rFonts w:ascii="Arial" w:hAnsi="Arial" w:cs="Arial"/>
        <w:sz w:val="18"/>
        <w:szCs w:val="18"/>
      </w:rPr>
      <w:instrText xml:space="preserve">PAGE  </w:instrText>
    </w:r>
    <w:r w:rsidRPr="0024340F">
      <w:rPr>
        <w:rStyle w:val="PageNumber"/>
        <w:rFonts w:ascii="Arial" w:hAnsi="Arial" w:cs="Arial"/>
        <w:sz w:val="18"/>
        <w:szCs w:val="18"/>
      </w:rPr>
      <w:fldChar w:fldCharType="separate"/>
    </w:r>
    <w:r w:rsidR="00F4461B">
      <w:rPr>
        <w:rStyle w:val="PageNumber"/>
        <w:rFonts w:ascii="Arial" w:hAnsi="Arial" w:cs="Arial"/>
        <w:noProof/>
        <w:sz w:val="18"/>
        <w:szCs w:val="18"/>
      </w:rPr>
      <w:t>2</w:t>
    </w:r>
    <w:r w:rsidRPr="0024340F">
      <w:rPr>
        <w:rStyle w:val="PageNumber"/>
        <w:rFonts w:ascii="Arial" w:hAnsi="Arial" w:cs="Arial"/>
        <w:sz w:val="18"/>
        <w:szCs w:val="18"/>
      </w:rPr>
      <w:fldChar w:fldCharType="end"/>
    </w:r>
  </w:p>
  <w:p w:rsidR="00727A39" w:rsidRDefault="00727A39">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BE" w:rsidRDefault="003B63BE">
      <w:r>
        <w:separator/>
      </w:r>
    </w:p>
  </w:footnote>
  <w:footnote w:type="continuationSeparator" w:id="0">
    <w:p w:rsidR="003B63BE" w:rsidRDefault="003B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265"/>
    <w:multiLevelType w:val="multilevel"/>
    <w:tmpl w:val="FA18F2C8"/>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1">
    <w:nsid w:val="05E55743"/>
    <w:multiLevelType w:val="hybridMultilevel"/>
    <w:tmpl w:val="F6A4834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76054"/>
    <w:multiLevelType w:val="multilevel"/>
    <w:tmpl w:val="7EFC2B6C"/>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3">
    <w:nsid w:val="1F0C3CEA"/>
    <w:multiLevelType w:val="hybridMultilevel"/>
    <w:tmpl w:val="60480A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562DA4"/>
    <w:multiLevelType w:val="multilevel"/>
    <w:tmpl w:val="5706E274"/>
    <w:styleLink w:val="List1"/>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5">
    <w:nsid w:val="22BA7D9C"/>
    <w:multiLevelType w:val="multilevel"/>
    <w:tmpl w:val="5458066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33B4DDA"/>
    <w:multiLevelType w:val="multilevel"/>
    <w:tmpl w:val="D34A58C6"/>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nsid w:val="2D5C65EA"/>
    <w:multiLevelType w:val="hybridMultilevel"/>
    <w:tmpl w:val="351E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C720F"/>
    <w:multiLevelType w:val="multilevel"/>
    <w:tmpl w:val="07D837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41545E7"/>
    <w:multiLevelType w:val="multilevel"/>
    <w:tmpl w:val="E0C4755E"/>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10">
    <w:nsid w:val="39344A40"/>
    <w:multiLevelType w:val="multilevel"/>
    <w:tmpl w:val="8ABA8E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nsid w:val="40F94884"/>
    <w:multiLevelType w:val="multilevel"/>
    <w:tmpl w:val="563226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nsid w:val="56D0337D"/>
    <w:multiLevelType w:val="multilevel"/>
    <w:tmpl w:val="142C44D2"/>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13">
    <w:nsid w:val="56F41A67"/>
    <w:multiLevelType w:val="multilevel"/>
    <w:tmpl w:val="120004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E2876FF"/>
    <w:multiLevelType w:val="multilevel"/>
    <w:tmpl w:val="D1B81B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2C559A1"/>
    <w:multiLevelType w:val="multilevel"/>
    <w:tmpl w:val="6D70D5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67142C1D"/>
    <w:multiLevelType w:val="multilevel"/>
    <w:tmpl w:val="FC109B2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nsid w:val="6D757A92"/>
    <w:multiLevelType w:val="multilevel"/>
    <w:tmpl w:val="FABA447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nsid w:val="71260C65"/>
    <w:multiLevelType w:val="hybridMultilevel"/>
    <w:tmpl w:val="50BA5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1B03B28"/>
    <w:multiLevelType w:val="multilevel"/>
    <w:tmpl w:val="363ACF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59944D9"/>
    <w:multiLevelType w:val="multilevel"/>
    <w:tmpl w:val="134A3A3A"/>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1">
    <w:nsid w:val="7D630309"/>
    <w:multiLevelType w:val="multilevel"/>
    <w:tmpl w:val="46C08502"/>
    <w:styleLink w:val="List21"/>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num w:numId="1">
    <w:abstractNumId w:val="7"/>
  </w:num>
  <w:num w:numId="2">
    <w:abstractNumId w:val="17"/>
  </w:num>
  <w:num w:numId="3">
    <w:abstractNumId w:val="16"/>
  </w:num>
  <w:num w:numId="4">
    <w:abstractNumId w:val="6"/>
  </w:num>
  <w:num w:numId="5">
    <w:abstractNumId w:val="9"/>
  </w:num>
  <w:num w:numId="6">
    <w:abstractNumId w:val="0"/>
  </w:num>
  <w:num w:numId="7">
    <w:abstractNumId w:val="12"/>
  </w:num>
  <w:num w:numId="8">
    <w:abstractNumId w:val="21"/>
  </w:num>
  <w:num w:numId="9">
    <w:abstractNumId w:val="2"/>
  </w:num>
  <w:num w:numId="10">
    <w:abstractNumId w:val="4"/>
  </w:num>
  <w:num w:numId="11">
    <w:abstractNumId w:val="13"/>
  </w:num>
  <w:num w:numId="12">
    <w:abstractNumId w:val="15"/>
  </w:num>
  <w:num w:numId="13">
    <w:abstractNumId w:val="19"/>
  </w:num>
  <w:num w:numId="14">
    <w:abstractNumId w:val="8"/>
  </w:num>
  <w:num w:numId="15">
    <w:abstractNumId w:val="14"/>
  </w:num>
  <w:num w:numId="16">
    <w:abstractNumId w:val="5"/>
  </w:num>
  <w:num w:numId="17">
    <w:abstractNumId w:val="10"/>
  </w:num>
  <w:num w:numId="18">
    <w:abstractNumId w:val="11"/>
  </w:num>
  <w:num w:numId="19">
    <w:abstractNumId w:val="20"/>
  </w:num>
  <w:num w:numId="20">
    <w:abstractNumId w:val="1"/>
  </w:num>
  <w:num w:numId="21">
    <w:abstractNumId w:val="18"/>
  </w:num>
  <w:num w:numId="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5A"/>
    <w:rsid w:val="000015CA"/>
    <w:rsid w:val="0000229B"/>
    <w:rsid w:val="00012020"/>
    <w:rsid w:val="00014B11"/>
    <w:rsid w:val="00022480"/>
    <w:rsid w:val="000266CE"/>
    <w:rsid w:val="00030A42"/>
    <w:rsid w:val="00033CF3"/>
    <w:rsid w:val="00036575"/>
    <w:rsid w:val="000416D4"/>
    <w:rsid w:val="00042AD1"/>
    <w:rsid w:val="0005399B"/>
    <w:rsid w:val="000548BC"/>
    <w:rsid w:val="000558CC"/>
    <w:rsid w:val="00064069"/>
    <w:rsid w:val="000678DD"/>
    <w:rsid w:val="000738CF"/>
    <w:rsid w:val="0007593B"/>
    <w:rsid w:val="00085109"/>
    <w:rsid w:val="00085871"/>
    <w:rsid w:val="00086ACB"/>
    <w:rsid w:val="000B110B"/>
    <w:rsid w:val="000B1570"/>
    <w:rsid w:val="000B25E8"/>
    <w:rsid w:val="000B4659"/>
    <w:rsid w:val="000D469E"/>
    <w:rsid w:val="000E5CD2"/>
    <w:rsid w:val="000E7DBD"/>
    <w:rsid w:val="000F32BD"/>
    <w:rsid w:val="000F56B5"/>
    <w:rsid w:val="000F6298"/>
    <w:rsid w:val="00103150"/>
    <w:rsid w:val="00103A6C"/>
    <w:rsid w:val="00104D1F"/>
    <w:rsid w:val="001130F2"/>
    <w:rsid w:val="00114574"/>
    <w:rsid w:val="00116680"/>
    <w:rsid w:val="00124567"/>
    <w:rsid w:val="00126393"/>
    <w:rsid w:val="001324FD"/>
    <w:rsid w:val="001329F6"/>
    <w:rsid w:val="001609A5"/>
    <w:rsid w:val="00161F02"/>
    <w:rsid w:val="001678E8"/>
    <w:rsid w:val="0017078B"/>
    <w:rsid w:val="00173288"/>
    <w:rsid w:val="00173470"/>
    <w:rsid w:val="001739F1"/>
    <w:rsid w:val="00180D06"/>
    <w:rsid w:val="001820CB"/>
    <w:rsid w:val="0019031F"/>
    <w:rsid w:val="001A4BEC"/>
    <w:rsid w:val="001B0440"/>
    <w:rsid w:val="001B1E67"/>
    <w:rsid w:val="001B7C61"/>
    <w:rsid w:val="001C4C64"/>
    <w:rsid w:val="001D08E6"/>
    <w:rsid w:val="001D2ADD"/>
    <w:rsid w:val="001D5808"/>
    <w:rsid w:val="001E324E"/>
    <w:rsid w:val="001E661B"/>
    <w:rsid w:val="001F0F0A"/>
    <w:rsid w:val="001F289A"/>
    <w:rsid w:val="001F412B"/>
    <w:rsid w:val="001F6F86"/>
    <w:rsid w:val="00200BAA"/>
    <w:rsid w:val="00200F82"/>
    <w:rsid w:val="00201332"/>
    <w:rsid w:val="00210978"/>
    <w:rsid w:val="002120E4"/>
    <w:rsid w:val="002177A8"/>
    <w:rsid w:val="00221366"/>
    <w:rsid w:val="00224C3F"/>
    <w:rsid w:val="00231846"/>
    <w:rsid w:val="00240A5A"/>
    <w:rsid w:val="00241D3B"/>
    <w:rsid w:val="00242A6C"/>
    <w:rsid w:val="0024340F"/>
    <w:rsid w:val="00243CB5"/>
    <w:rsid w:val="002479E5"/>
    <w:rsid w:val="00257507"/>
    <w:rsid w:val="0026184A"/>
    <w:rsid w:val="00261B9A"/>
    <w:rsid w:val="002650A7"/>
    <w:rsid w:val="00265FC0"/>
    <w:rsid w:val="00273A4D"/>
    <w:rsid w:val="00274B16"/>
    <w:rsid w:val="00275426"/>
    <w:rsid w:val="00276E85"/>
    <w:rsid w:val="00282CD5"/>
    <w:rsid w:val="00286E09"/>
    <w:rsid w:val="00291CAD"/>
    <w:rsid w:val="00297357"/>
    <w:rsid w:val="0029767F"/>
    <w:rsid w:val="002A14A0"/>
    <w:rsid w:val="002A1884"/>
    <w:rsid w:val="002A5FC9"/>
    <w:rsid w:val="002B1384"/>
    <w:rsid w:val="002B327D"/>
    <w:rsid w:val="002B35B8"/>
    <w:rsid w:val="002B5409"/>
    <w:rsid w:val="002C13C2"/>
    <w:rsid w:val="002C4433"/>
    <w:rsid w:val="002D04A6"/>
    <w:rsid w:val="002E542C"/>
    <w:rsid w:val="002F1004"/>
    <w:rsid w:val="00300EA2"/>
    <w:rsid w:val="003113CD"/>
    <w:rsid w:val="00311A24"/>
    <w:rsid w:val="003134A8"/>
    <w:rsid w:val="00320708"/>
    <w:rsid w:val="003231FA"/>
    <w:rsid w:val="00330FE0"/>
    <w:rsid w:val="00333B56"/>
    <w:rsid w:val="00333C0B"/>
    <w:rsid w:val="003416B2"/>
    <w:rsid w:val="00355B2B"/>
    <w:rsid w:val="0036698C"/>
    <w:rsid w:val="00366AB3"/>
    <w:rsid w:val="003710B7"/>
    <w:rsid w:val="003723E4"/>
    <w:rsid w:val="00374DCB"/>
    <w:rsid w:val="00396B7F"/>
    <w:rsid w:val="003974AA"/>
    <w:rsid w:val="003B63BE"/>
    <w:rsid w:val="003C5359"/>
    <w:rsid w:val="003E118B"/>
    <w:rsid w:val="003F067A"/>
    <w:rsid w:val="003F5FC7"/>
    <w:rsid w:val="003F763B"/>
    <w:rsid w:val="00400FC2"/>
    <w:rsid w:val="00405367"/>
    <w:rsid w:val="0041318E"/>
    <w:rsid w:val="004134A1"/>
    <w:rsid w:val="004141CC"/>
    <w:rsid w:val="00424152"/>
    <w:rsid w:val="00424398"/>
    <w:rsid w:val="00426778"/>
    <w:rsid w:val="00437C13"/>
    <w:rsid w:val="00445467"/>
    <w:rsid w:val="0044565B"/>
    <w:rsid w:val="00446B3A"/>
    <w:rsid w:val="00461DFC"/>
    <w:rsid w:val="004628DE"/>
    <w:rsid w:val="00470EEF"/>
    <w:rsid w:val="004720DE"/>
    <w:rsid w:val="004727F4"/>
    <w:rsid w:val="004749E7"/>
    <w:rsid w:val="00476E3F"/>
    <w:rsid w:val="00483750"/>
    <w:rsid w:val="00483FA1"/>
    <w:rsid w:val="0049335A"/>
    <w:rsid w:val="00497328"/>
    <w:rsid w:val="004A2A95"/>
    <w:rsid w:val="004A7039"/>
    <w:rsid w:val="004B30D5"/>
    <w:rsid w:val="004B3110"/>
    <w:rsid w:val="004B68CA"/>
    <w:rsid w:val="004C6C57"/>
    <w:rsid w:val="004C78CC"/>
    <w:rsid w:val="004D5CAF"/>
    <w:rsid w:val="004E02BB"/>
    <w:rsid w:val="004F0061"/>
    <w:rsid w:val="004F109E"/>
    <w:rsid w:val="004F1670"/>
    <w:rsid w:val="004F332B"/>
    <w:rsid w:val="004F5357"/>
    <w:rsid w:val="00502000"/>
    <w:rsid w:val="00506043"/>
    <w:rsid w:val="00506484"/>
    <w:rsid w:val="00507C26"/>
    <w:rsid w:val="00513E09"/>
    <w:rsid w:val="00525967"/>
    <w:rsid w:val="005348AC"/>
    <w:rsid w:val="0053663D"/>
    <w:rsid w:val="005370C9"/>
    <w:rsid w:val="005372A9"/>
    <w:rsid w:val="00541148"/>
    <w:rsid w:val="00542D6C"/>
    <w:rsid w:val="00564694"/>
    <w:rsid w:val="005744C2"/>
    <w:rsid w:val="00574D92"/>
    <w:rsid w:val="00583C8F"/>
    <w:rsid w:val="005915A7"/>
    <w:rsid w:val="00595F0B"/>
    <w:rsid w:val="005963EA"/>
    <w:rsid w:val="005A1068"/>
    <w:rsid w:val="005A29F5"/>
    <w:rsid w:val="005B1876"/>
    <w:rsid w:val="005B2FE8"/>
    <w:rsid w:val="005C4F17"/>
    <w:rsid w:val="005C62E8"/>
    <w:rsid w:val="005C74BB"/>
    <w:rsid w:val="005E01F6"/>
    <w:rsid w:val="005E0CD6"/>
    <w:rsid w:val="005F44E3"/>
    <w:rsid w:val="005F5981"/>
    <w:rsid w:val="006000E8"/>
    <w:rsid w:val="00605B0A"/>
    <w:rsid w:val="0060710A"/>
    <w:rsid w:val="00612435"/>
    <w:rsid w:val="00622514"/>
    <w:rsid w:val="00634DAF"/>
    <w:rsid w:val="0063599F"/>
    <w:rsid w:val="00636953"/>
    <w:rsid w:val="00637D7B"/>
    <w:rsid w:val="00642E91"/>
    <w:rsid w:val="006445C0"/>
    <w:rsid w:val="006507A2"/>
    <w:rsid w:val="00651D8A"/>
    <w:rsid w:val="00653D69"/>
    <w:rsid w:val="00655BE5"/>
    <w:rsid w:val="00656C49"/>
    <w:rsid w:val="00657364"/>
    <w:rsid w:val="006640F5"/>
    <w:rsid w:val="00666163"/>
    <w:rsid w:val="00673A9A"/>
    <w:rsid w:val="0068226A"/>
    <w:rsid w:val="00683BDE"/>
    <w:rsid w:val="00684B38"/>
    <w:rsid w:val="00685637"/>
    <w:rsid w:val="00687B6D"/>
    <w:rsid w:val="00691593"/>
    <w:rsid w:val="00691F89"/>
    <w:rsid w:val="006963F1"/>
    <w:rsid w:val="006A2D5C"/>
    <w:rsid w:val="006C010D"/>
    <w:rsid w:val="006C0AD4"/>
    <w:rsid w:val="006C492D"/>
    <w:rsid w:val="006C4962"/>
    <w:rsid w:val="006D00CC"/>
    <w:rsid w:val="006D2F26"/>
    <w:rsid w:val="006D3B88"/>
    <w:rsid w:val="006D62A7"/>
    <w:rsid w:val="006D7E48"/>
    <w:rsid w:val="006E2768"/>
    <w:rsid w:val="006E331C"/>
    <w:rsid w:val="006E605B"/>
    <w:rsid w:val="006F06DC"/>
    <w:rsid w:val="0070589B"/>
    <w:rsid w:val="00716EAB"/>
    <w:rsid w:val="00721428"/>
    <w:rsid w:val="00724DCA"/>
    <w:rsid w:val="00725A6C"/>
    <w:rsid w:val="00727204"/>
    <w:rsid w:val="00727A39"/>
    <w:rsid w:val="00744E61"/>
    <w:rsid w:val="007534BC"/>
    <w:rsid w:val="0075358F"/>
    <w:rsid w:val="00762FF9"/>
    <w:rsid w:val="00772259"/>
    <w:rsid w:val="00776D17"/>
    <w:rsid w:val="00780226"/>
    <w:rsid w:val="00781D49"/>
    <w:rsid w:val="00782686"/>
    <w:rsid w:val="007834C4"/>
    <w:rsid w:val="00784E91"/>
    <w:rsid w:val="00785936"/>
    <w:rsid w:val="0078714D"/>
    <w:rsid w:val="00791858"/>
    <w:rsid w:val="00795F05"/>
    <w:rsid w:val="0079622B"/>
    <w:rsid w:val="007967AD"/>
    <w:rsid w:val="007A145A"/>
    <w:rsid w:val="007A63E6"/>
    <w:rsid w:val="007B023F"/>
    <w:rsid w:val="007B1932"/>
    <w:rsid w:val="007B4C61"/>
    <w:rsid w:val="007D0241"/>
    <w:rsid w:val="007D0AD8"/>
    <w:rsid w:val="007D152E"/>
    <w:rsid w:val="007D3670"/>
    <w:rsid w:val="007D72DE"/>
    <w:rsid w:val="007E325F"/>
    <w:rsid w:val="007E7C97"/>
    <w:rsid w:val="007F27F2"/>
    <w:rsid w:val="007F321B"/>
    <w:rsid w:val="007F5AEC"/>
    <w:rsid w:val="0081668D"/>
    <w:rsid w:val="00822302"/>
    <w:rsid w:val="00822BD2"/>
    <w:rsid w:val="00830AEA"/>
    <w:rsid w:val="00835C6A"/>
    <w:rsid w:val="00836871"/>
    <w:rsid w:val="00843036"/>
    <w:rsid w:val="008456AB"/>
    <w:rsid w:val="00851173"/>
    <w:rsid w:val="00851588"/>
    <w:rsid w:val="008521B7"/>
    <w:rsid w:val="008521E0"/>
    <w:rsid w:val="008534C4"/>
    <w:rsid w:val="00867D84"/>
    <w:rsid w:val="00867F46"/>
    <w:rsid w:val="00871E85"/>
    <w:rsid w:val="00872F6F"/>
    <w:rsid w:val="008748B1"/>
    <w:rsid w:val="00875E6F"/>
    <w:rsid w:val="00877CA4"/>
    <w:rsid w:val="00877DAD"/>
    <w:rsid w:val="00891D9B"/>
    <w:rsid w:val="008A169D"/>
    <w:rsid w:val="008A5562"/>
    <w:rsid w:val="008B1B19"/>
    <w:rsid w:val="008B4BA4"/>
    <w:rsid w:val="008C4983"/>
    <w:rsid w:val="008C7259"/>
    <w:rsid w:val="008D2627"/>
    <w:rsid w:val="008D3107"/>
    <w:rsid w:val="008F0133"/>
    <w:rsid w:val="0090184B"/>
    <w:rsid w:val="00913022"/>
    <w:rsid w:val="009219FE"/>
    <w:rsid w:val="0092511E"/>
    <w:rsid w:val="00926118"/>
    <w:rsid w:val="009474D0"/>
    <w:rsid w:val="00955BFB"/>
    <w:rsid w:val="00961A94"/>
    <w:rsid w:val="0096294E"/>
    <w:rsid w:val="00964306"/>
    <w:rsid w:val="00971F1F"/>
    <w:rsid w:val="0097260D"/>
    <w:rsid w:val="0097623B"/>
    <w:rsid w:val="009859DF"/>
    <w:rsid w:val="00986498"/>
    <w:rsid w:val="00987331"/>
    <w:rsid w:val="00992027"/>
    <w:rsid w:val="00992CB1"/>
    <w:rsid w:val="00996F3B"/>
    <w:rsid w:val="009A3D88"/>
    <w:rsid w:val="009A5393"/>
    <w:rsid w:val="009A594F"/>
    <w:rsid w:val="009B32D5"/>
    <w:rsid w:val="009C1862"/>
    <w:rsid w:val="009E0B85"/>
    <w:rsid w:val="009E29E0"/>
    <w:rsid w:val="009E4889"/>
    <w:rsid w:val="009F32BD"/>
    <w:rsid w:val="00A02B5C"/>
    <w:rsid w:val="00A04C6D"/>
    <w:rsid w:val="00A13C84"/>
    <w:rsid w:val="00A155DC"/>
    <w:rsid w:val="00A20784"/>
    <w:rsid w:val="00A30685"/>
    <w:rsid w:val="00A330CA"/>
    <w:rsid w:val="00A3488E"/>
    <w:rsid w:val="00A44DD9"/>
    <w:rsid w:val="00A50F58"/>
    <w:rsid w:val="00A52F87"/>
    <w:rsid w:val="00A53247"/>
    <w:rsid w:val="00A555BB"/>
    <w:rsid w:val="00A55740"/>
    <w:rsid w:val="00A574E4"/>
    <w:rsid w:val="00A66E0F"/>
    <w:rsid w:val="00A7387F"/>
    <w:rsid w:val="00A83E61"/>
    <w:rsid w:val="00A936F8"/>
    <w:rsid w:val="00A95748"/>
    <w:rsid w:val="00A97D44"/>
    <w:rsid w:val="00AA5455"/>
    <w:rsid w:val="00AB05A2"/>
    <w:rsid w:val="00AC53D3"/>
    <w:rsid w:val="00AC7E5A"/>
    <w:rsid w:val="00AD486A"/>
    <w:rsid w:val="00AD6828"/>
    <w:rsid w:val="00AD7A74"/>
    <w:rsid w:val="00AD7D40"/>
    <w:rsid w:val="00AE312F"/>
    <w:rsid w:val="00AE5AAF"/>
    <w:rsid w:val="00AE740C"/>
    <w:rsid w:val="00AF083D"/>
    <w:rsid w:val="00AF13BD"/>
    <w:rsid w:val="00B00590"/>
    <w:rsid w:val="00B10B99"/>
    <w:rsid w:val="00B1188F"/>
    <w:rsid w:val="00B179FE"/>
    <w:rsid w:val="00B21D0E"/>
    <w:rsid w:val="00B22E17"/>
    <w:rsid w:val="00B23ED0"/>
    <w:rsid w:val="00B250D1"/>
    <w:rsid w:val="00B2723C"/>
    <w:rsid w:val="00B301DE"/>
    <w:rsid w:val="00B359F8"/>
    <w:rsid w:val="00B36E0C"/>
    <w:rsid w:val="00B37465"/>
    <w:rsid w:val="00B41B3C"/>
    <w:rsid w:val="00B41F14"/>
    <w:rsid w:val="00B42C4B"/>
    <w:rsid w:val="00B45411"/>
    <w:rsid w:val="00B47EAC"/>
    <w:rsid w:val="00B50E6C"/>
    <w:rsid w:val="00B57064"/>
    <w:rsid w:val="00B60A0F"/>
    <w:rsid w:val="00B60AC5"/>
    <w:rsid w:val="00B66673"/>
    <w:rsid w:val="00B749B2"/>
    <w:rsid w:val="00B75D26"/>
    <w:rsid w:val="00B76C79"/>
    <w:rsid w:val="00B826BA"/>
    <w:rsid w:val="00B83465"/>
    <w:rsid w:val="00B9553E"/>
    <w:rsid w:val="00B968FB"/>
    <w:rsid w:val="00BA3377"/>
    <w:rsid w:val="00BB4FC4"/>
    <w:rsid w:val="00BB5E3B"/>
    <w:rsid w:val="00BD3553"/>
    <w:rsid w:val="00BD35EB"/>
    <w:rsid w:val="00BD448F"/>
    <w:rsid w:val="00BD5E14"/>
    <w:rsid w:val="00BD68E0"/>
    <w:rsid w:val="00BE3C46"/>
    <w:rsid w:val="00BE5DDB"/>
    <w:rsid w:val="00BE786F"/>
    <w:rsid w:val="00BF7295"/>
    <w:rsid w:val="00C072FB"/>
    <w:rsid w:val="00C10866"/>
    <w:rsid w:val="00C13214"/>
    <w:rsid w:val="00C1467F"/>
    <w:rsid w:val="00C25BD9"/>
    <w:rsid w:val="00C31CC5"/>
    <w:rsid w:val="00C34BE8"/>
    <w:rsid w:val="00C36C17"/>
    <w:rsid w:val="00C37D02"/>
    <w:rsid w:val="00C47326"/>
    <w:rsid w:val="00C507EB"/>
    <w:rsid w:val="00C52047"/>
    <w:rsid w:val="00C657E3"/>
    <w:rsid w:val="00C66448"/>
    <w:rsid w:val="00C67AAC"/>
    <w:rsid w:val="00C710C6"/>
    <w:rsid w:val="00C71532"/>
    <w:rsid w:val="00C74824"/>
    <w:rsid w:val="00C81CF5"/>
    <w:rsid w:val="00C908A6"/>
    <w:rsid w:val="00C94236"/>
    <w:rsid w:val="00CA0887"/>
    <w:rsid w:val="00CA27FE"/>
    <w:rsid w:val="00CA2CFE"/>
    <w:rsid w:val="00CA3C3A"/>
    <w:rsid w:val="00CA64E2"/>
    <w:rsid w:val="00CB36B5"/>
    <w:rsid w:val="00CC3F68"/>
    <w:rsid w:val="00CC48EE"/>
    <w:rsid w:val="00CC688E"/>
    <w:rsid w:val="00CD16CB"/>
    <w:rsid w:val="00CE668E"/>
    <w:rsid w:val="00CF50AA"/>
    <w:rsid w:val="00D000D9"/>
    <w:rsid w:val="00D03871"/>
    <w:rsid w:val="00D067F9"/>
    <w:rsid w:val="00D15A59"/>
    <w:rsid w:val="00D16D06"/>
    <w:rsid w:val="00D17C53"/>
    <w:rsid w:val="00D21127"/>
    <w:rsid w:val="00D2136E"/>
    <w:rsid w:val="00D262C2"/>
    <w:rsid w:val="00D27FDA"/>
    <w:rsid w:val="00D42618"/>
    <w:rsid w:val="00D4301C"/>
    <w:rsid w:val="00D44E08"/>
    <w:rsid w:val="00D46282"/>
    <w:rsid w:val="00D514AB"/>
    <w:rsid w:val="00D555DC"/>
    <w:rsid w:val="00D609BB"/>
    <w:rsid w:val="00D728E5"/>
    <w:rsid w:val="00D75B3C"/>
    <w:rsid w:val="00D80A85"/>
    <w:rsid w:val="00D8570A"/>
    <w:rsid w:val="00D96B7F"/>
    <w:rsid w:val="00DA32DC"/>
    <w:rsid w:val="00DB1625"/>
    <w:rsid w:val="00DB1D42"/>
    <w:rsid w:val="00DB3036"/>
    <w:rsid w:val="00DC0EE4"/>
    <w:rsid w:val="00DC1D38"/>
    <w:rsid w:val="00DC2E13"/>
    <w:rsid w:val="00DC3DF2"/>
    <w:rsid w:val="00DD4609"/>
    <w:rsid w:val="00DD5622"/>
    <w:rsid w:val="00DD57EE"/>
    <w:rsid w:val="00DD676A"/>
    <w:rsid w:val="00DD7972"/>
    <w:rsid w:val="00DE11CA"/>
    <w:rsid w:val="00DE5657"/>
    <w:rsid w:val="00DE68AC"/>
    <w:rsid w:val="00DE6C80"/>
    <w:rsid w:val="00DF2D01"/>
    <w:rsid w:val="00E00BA8"/>
    <w:rsid w:val="00E02915"/>
    <w:rsid w:val="00E12263"/>
    <w:rsid w:val="00E22B2D"/>
    <w:rsid w:val="00E231FA"/>
    <w:rsid w:val="00E34129"/>
    <w:rsid w:val="00E43EAE"/>
    <w:rsid w:val="00E52EC2"/>
    <w:rsid w:val="00E6392B"/>
    <w:rsid w:val="00E65D64"/>
    <w:rsid w:val="00E675A3"/>
    <w:rsid w:val="00E73E75"/>
    <w:rsid w:val="00E83042"/>
    <w:rsid w:val="00E85C6F"/>
    <w:rsid w:val="00E91F91"/>
    <w:rsid w:val="00E920FC"/>
    <w:rsid w:val="00E928CC"/>
    <w:rsid w:val="00E973E1"/>
    <w:rsid w:val="00EA0525"/>
    <w:rsid w:val="00EA3BBD"/>
    <w:rsid w:val="00EA422F"/>
    <w:rsid w:val="00EA5D1D"/>
    <w:rsid w:val="00EA6D0E"/>
    <w:rsid w:val="00EC4610"/>
    <w:rsid w:val="00EC7DD1"/>
    <w:rsid w:val="00ED6F5E"/>
    <w:rsid w:val="00ED7D10"/>
    <w:rsid w:val="00EE25B4"/>
    <w:rsid w:val="00EE3435"/>
    <w:rsid w:val="00EE6A82"/>
    <w:rsid w:val="00EE6C86"/>
    <w:rsid w:val="00EF46DF"/>
    <w:rsid w:val="00EF569C"/>
    <w:rsid w:val="00F0290C"/>
    <w:rsid w:val="00F06E4D"/>
    <w:rsid w:val="00F136D0"/>
    <w:rsid w:val="00F15254"/>
    <w:rsid w:val="00F2701F"/>
    <w:rsid w:val="00F328DF"/>
    <w:rsid w:val="00F34836"/>
    <w:rsid w:val="00F35E27"/>
    <w:rsid w:val="00F4280C"/>
    <w:rsid w:val="00F432E5"/>
    <w:rsid w:val="00F4461B"/>
    <w:rsid w:val="00F46892"/>
    <w:rsid w:val="00F57324"/>
    <w:rsid w:val="00F63E79"/>
    <w:rsid w:val="00F66FA9"/>
    <w:rsid w:val="00F728F9"/>
    <w:rsid w:val="00F81BAB"/>
    <w:rsid w:val="00F81E5B"/>
    <w:rsid w:val="00F8416E"/>
    <w:rsid w:val="00F86256"/>
    <w:rsid w:val="00F869EF"/>
    <w:rsid w:val="00FA10D6"/>
    <w:rsid w:val="00FA37CC"/>
    <w:rsid w:val="00FA730E"/>
    <w:rsid w:val="00FB3B99"/>
    <w:rsid w:val="00FC5B81"/>
    <w:rsid w:val="00FD3E72"/>
    <w:rsid w:val="00FD44F1"/>
    <w:rsid w:val="00FD4BFE"/>
    <w:rsid w:val="00FF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 w:type="paragraph" w:customStyle="1" w:styleId="Body">
    <w:name w:val="Body"/>
    <w:rsid w:val="00AB05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rsid w:val="00AB05A2"/>
    <w:rPr>
      <w:color w:val="0000FF"/>
      <w:u w:val="single" w:color="0000FF"/>
    </w:rPr>
  </w:style>
  <w:style w:type="numbering" w:customStyle="1" w:styleId="List0">
    <w:name w:val="List 0"/>
    <w:basedOn w:val="NoList"/>
    <w:rsid w:val="00AB05A2"/>
    <w:pPr>
      <w:numPr>
        <w:numId w:val="4"/>
      </w:numPr>
    </w:pPr>
  </w:style>
  <w:style w:type="numbering" w:customStyle="1" w:styleId="List1">
    <w:name w:val="List 1"/>
    <w:basedOn w:val="NoList"/>
    <w:rsid w:val="00AB05A2"/>
    <w:pPr>
      <w:numPr>
        <w:numId w:val="10"/>
      </w:numPr>
    </w:pPr>
  </w:style>
  <w:style w:type="numbering" w:customStyle="1" w:styleId="List21">
    <w:name w:val="List 21"/>
    <w:basedOn w:val="NoList"/>
    <w:rsid w:val="00AB05A2"/>
    <w:pPr>
      <w:numPr>
        <w:numId w:val="8"/>
      </w:numPr>
    </w:pPr>
  </w:style>
  <w:style w:type="numbering" w:customStyle="1" w:styleId="List6">
    <w:name w:val="List 6"/>
    <w:basedOn w:val="NoList"/>
    <w:rsid w:val="00AB05A2"/>
    <w:pPr>
      <w:numPr>
        <w:numId w:val="16"/>
      </w:numPr>
    </w:pPr>
  </w:style>
  <w:style w:type="numbering" w:customStyle="1" w:styleId="List7">
    <w:name w:val="List 7"/>
    <w:basedOn w:val="NoList"/>
    <w:rsid w:val="00AB05A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 w:type="paragraph" w:customStyle="1" w:styleId="Body">
    <w:name w:val="Body"/>
    <w:rsid w:val="00AB05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rsid w:val="00AB05A2"/>
    <w:rPr>
      <w:color w:val="0000FF"/>
      <w:u w:val="single" w:color="0000FF"/>
    </w:rPr>
  </w:style>
  <w:style w:type="numbering" w:customStyle="1" w:styleId="List0">
    <w:name w:val="List 0"/>
    <w:basedOn w:val="NoList"/>
    <w:rsid w:val="00AB05A2"/>
    <w:pPr>
      <w:numPr>
        <w:numId w:val="4"/>
      </w:numPr>
    </w:pPr>
  </w:style>
  <w:style w:type="numbering" w:customStyle="1" w:styleId="List1">
    <w:name w:val="List 1"/>
    <w:basedOn w:val="NoList"/>
    <w:rsid w:val="00AB05A2"/>
    <w:pPr>
      <w:numPr>
        <w:numId w:val="10"/>
      </w:numPr>
    </w:pPr>
  </w:style>
  <w:style w:type="numbering" w:customStyle="1" w:styleId="List21">
    <w:name w:val="List 21"/>
    <w:basedOn w:val="NoList"/>
    <w:rsid w:val="00AB05A2"/>
    <w:pPr>
      <w:numPr>
        <w:numId w:val="8"/>
      </w:numPr>
    </w:pPr>
  </w:style>
  <w:style w:type="numbering" w:customStyle="1" w:styleId="List6">
    <w:name w:val="List 6"/>
    <w:basedOn w:val="NoList"/>
    <w:rsid w:val="00AB05A2"/>
    <w:pPr>
      <w:numPr>
        <w:numId w:val="16"/>
      </w:numPr>
    </w:pPr>
  </w:style>
  <w:style w:type="numbering" w:customStyle="1" w:styleId="List7">
    <w:name w:val="List 7"/>
    <w:basedOn w:val="NoList"/>
    <w:rsid w:val="00AB05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834">
      <w:bodyDiv w:val="1"/>
      <w:marLeft w:val="0"/>
      <w:marRight w:val="0"/>
      <w:marTop w:val="0"/>
      <w:marBottom w:val="0"/>
      <w:divBdr>
        <w:top w:val="none" w:sz="0" w:space="0" w:color="auto"/>
        <w:left w:val="none" w:sz="0" w:space="0" w:color="auto"/>
        <w:bottom w:val="none" w:sz="0" w:space="0" w:color="auto"/>
        <w:right w:val="none" w:sz="0" w:space="0" w:color="auto"/>
      </w:divBdr>
    </w:div>
    <w:div w:id="156000462">
      <w:bodyDiv w:val="1"/>
      <w:marLeft w:val="0"/>
      <w:marRight w:val="0"/>
      <w:marTop w:val="0"/>
      <w:marBottom w:val="0"/>
      <w:divBdr>
        <w:top w:val="none" w:sz="0" w:space="0" w:color="auto"/>
        <w:left w:val="none" w:sz="0" w:space="0" w:color="auto"/>
        <w:bottom w:val="none" w:sz="0" w:space="0" w:color="auto"/>
        <w:right w:val="none" w:sz="0" w:space="0" w:color="auto"/>
      </w:divBdr>
    </w:div>
    <w:div w:id="189489297">
      <w:bodyDiv w:val="1"/>
      <w:marLeft w:val="0"/>
      <w:marRight w:val="0"/>
      <w:marTop w:val="0"/>
      <w:marBottom w:val="0"/>
      <w:divBdr>
        <w:top w:val="none" w:sz="0" w:space="0" w:color="auto"/>
        <w:left w:val="none" w:sz="0" w:space="0" w:color="auto"/>
        <w:bottom w:val="none" w:sz="0" w:space="0" w:color="auto"/>
        <w:right w:val="none" w:sz="0" w:space="0" w:color="auto"/>
      </w:divBdr>
    </w:div>
    <w:div w:id="288246988">
      <w:bodyDiv w:val="1"/>
      <w:marLeft w:val="0"/>
      <w:marRight w:val="0"/>
      <w:marTop w:val="0"/>
      <w:marBottom w:val="0"/>
      <w:divBdr>
        <w:top w:val="none" w:sz="0" w:space="0" w:color="auto"/>
        <w:left w:val="none" w:sz="0" w:space="0" w:color="auto"/>
        <w:bottom w:val="none" w:sz="0" w:space="0" w:color="auto"/>
        <w:right w:val="none" w:sz="0" w:space="0" w:color="auto"/>
      </w:divBdr>
    </w:div>
    <w:div w:id="626358867">
      <w:bodyDiv w:val="1"/>
      <w:marLeft w:val="0"/>
      <w:marRight w:val="0"/>
      <w:marTop w:val="0"/>
      <w:marBottom w:val="0"/>
      <w:divBdr>
        <w:top w:val="none" w:sz="0" w:space="0" w:color="auto"/>
        <w:left w:val="none" w:sz="0" w:space="0" w:color="auto"/>
        <w:bottom w:val="none" w:sz="0" w:space="0" w:color="auto"/>
        <w:right w:val="none" w:sz="0" w:space="0" w:color="auto"/>
      </w:divBdr>
    </w:div>
    <w:div w:id="1283030492">
      <w:bodyDiv w:val="1"/>
      <w:marLeft w:val="0"/>
      <w:marRight w:val="0"/>
      <w:marTop w:val="0"/>
      <w:marBottom w:val="0"/>
      <w:divBdr>
        <w:top w:val="none" w:sz="0" w:space="0" w:color="auto"/>
        <w:left w:val="none" w:sz="0" w:space="0" w:color="auto"/>
        <w:bottom w:val="none" w:sz="0" w:space="0" w:color="auto"/>
        <w:right w:val="none" w:sz="0" w:space="0" w:color="auto"/>
      </w:divBdr>
    </w:div>
    <w:div w:id="1420978188">
      <w:bodyDiv w:val="1"/>
      <w:marLeft w:val="0"/>
      <w:marRight w:val="0"/>
      <w:marTop w:val="0"/>
      <w:marBottom w:val="0"/>
      <w:divBdr>
        <w:top w:val="none" w:sz="0" w:space="0" w:color="auto"/>
        <w:left w:val="none" w:sz="0" w:space="0" w:color="auto"/>
        <w:bottom w:val="none" w:sz="0" w:space="0" w:color="auto"/>
        <w:right w:val="none" w:sz="0" w:space="0" w:color="auto"/>
      </w:divBdr>
    </w:div>
    <w:div w:id="20188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bsa.nhs.uk/4459.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scic.gov.uk/media/13647/GPES-QOF-13-14-Letter-to-Practice-Managers/pdf/GPES_QOF_13-14_Letter_to_Practice_Managers_Feb_201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BC71-4DAA-4474-A90A-19ADFCCC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Surrey and Sussex LMCs</Company>
  <LinksUpToDate>false</LinksUpToDate>
  <CharactersWithSpaces>6243</CharactersWithSpaces>
  <SharedDoc>false</SharedDoc>
  <HLinks>
    <vt:vector size="54" baseType="variant">
      <vt:variant>
        <vt:i4>7209062</vt:i4>
      </vt:variant>
      <vt:variant>
        <vt:i4>24</vt:i4>
      </vt:variant>
      <vt:variant>
        <vt:i4>0</vt:i4>
      </vt:variant>
      <vt:variant>
        <vt:i4>5</vt:i4>
      </vt:variant>
      <vt:variant>
        <vt:lpwstr>http://bma.org.uk/working-for-change/negotiating-for-the-profession/bma-general-practitioners-committee/general-practice-contract/contract-changes-in-england-2015/urgent-measures</vt:lpwstr>
      </vt:variant>
      <vt:variant>
        <vt:lpwstr/>
      </vt:variant>
      <vt:variant>
        <vt:i4>7209087</vt:i4>
      </vt:variant>
      <vt:variant>
        <vt:i4>21</vt:i4>
      </vt:variant>
      <vt:variant>
        <vt:i4>0</vt:i4>
      </vt:variant>
      <vt:variant>
        <vt:i4>5</vt:i4>
      </vt:variant>
      <vt:variant>
        <vt:lpwstr>http://web2.bma.org.uk/pressrel.nsf/wall/32433ed9270c4a1580257d7a00343014?opendocument</vt:lpwstr>
      </vt:variant>
      <vt:variant>
        <vt:lpwstr/>
      </vt:variant>
      <vt:variant>
        <vt:i4>1441883</vt:i4>
      </vt:variant>
      <vt:variant>
        <vt:i4>18</vt:i4>
      </vt:variant>
      <vt:variant>
        <vt:i4>0</vt:i4>
      </vt:variant>
      <vt:variant>
        <vt:i4>5</vt:i4>
      </vt:variant>
      <vt:variant>
        <vt:lpwstr>http://www.england.nhs.uk/ourwork/futurenhs/</vt:lpwstr>
      </vt:variant>
      <vt:variant>
        <vt:lpwstr/>
      </vt:variant>
      <vt:variant>
        <vt:i4>6357119</vt:i4>
      </vt:variant>
      <vt:variant>
        <vt:i4>15</vt:i4>
      </vt:variant>
      <vt:variant>
        <vt:i4>0</vt:i4>
      </vt:variant>
      <vt:variant>
        <vt:i4>5</vt:i4>
      </vt:variant>
      <vt:variant>
        <vt:lpwstr>http://bma.org.uk/working-for-change/negotiating-for-the-profession/bma-general-practitioners-committee/gpc-vision</vt:lpwstr>
      </vt:variant>
      <vt:variant>
        <vt:lpwstr/>
      </vt:variant>
      <vt:variant>
        <vt:i4>3080315</vt:i4>
      </vt:variant>
      <vt:variant>
        <vt:i4>12</vt:i4>
      </vt:variant>
      <vt:variant>
        <vt:i4>0</vt:i4>
      </vt:variant>
      <vt:variant>
        <vt:i4>5</vt:i4>
      </vt:variant>
      <vt:variant>
        <vt:lpwstr>http://bma.org.uk/working-for-change/your-gp-cares</vt:lpwstr>
      </vt:variant>
      <vt:variant>
        <vt:lpwstr/>
      </vt:variant>
      <vt:variant>
        <vt:i4>7209087</vt:i4>
      </vt:variant>
      <vt:variant>
        <vt:i4>9</vt:i4>
      </vt:variant>
      <vt:variant>
        <vt:i4>0</vt:i4>
      </vt:variant>
      <vt:variant>
        <vt:i4>5</vt:i4>
      </vt:variant>
      <vt:variant>
        <vt:lpwstr>http://web2.bma.org.uk/pressrel.nsf/wall/32433ed9270c4a1580257d7a00343014?opendocument</vt:lpwstr>
      </vt:variant>
      <vt:variant>
        <vt:lpwstr/>
      </vt:variant>
      <vt:variant>
        <vt:i4>1441883</vt:i4>
      </vt:variant>
      <vt:variant>
        <vt:i4>6</vt:i4>
      </vt:variant>
      <vt:variant>
        <vt:i4>0</vt:i4>
      </vt:variant>
      <vt:variant>
        <vt:i4>5</vt:i4>
      </vt:variant>
      <vt:variant>
        <vt:lpwstr>http://www.england.nhs.uk/ourwork/futurenhs/</vt:lpwstr>
      </vt:variant>
      <vt:variant>
        <vt:lpwstr/>
      </vt:variant>
      <vt:variant>
        <vt:i4>4784195</vt:i4>
      </vt:variant>
      <vt:variant>
        <vt:i4>3</vt:i4>
      </vt:variant>
      <vt:variant>
        <vt:i4>0</vt:i4>
      </vt:variant>
      <vt:variant>
        <vt:i4>5</vt:i4>
      </vt:variant>
      <vt:variant>
        <vt:lpwstr>https://www.gov.uk/government/publications/applying-behavioural-insight-to-health-behavioural-insights-team-paper</vt:lpwstr>
      </vt:variant>
      <vt:variant>
        <vt:lpwstr/>
      </vt:variant>
      <vt:variant>
        <vt:i4>1048671</vt:i4>
      </vt:variant>
      <vt:variant>
        <vt:i4>2185</vt:i4>
      </vt:variant>
      <vt:variant>
        <vt:i4>1025</vt:i4>
      </vt:variant>
      <vt:variant>
        <vt:i4>1</vt:i4>
      </vt:variant>
      <vt:variant>
        <vt:lpwstr>C:\Documents and Settings\Liz.SERVER1\Local Settings\Temporary Internet Files\Marketing\Logo.jpg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5</cp:revision>
  <cp:lastPrinted>2015-01-23T12:07:00Z</cp:lastPrinted>
  <dcterms:created xsi:type="dcterms:W3CDTF">2016-04-27T10:27:00Z</dcterms:created>
  <dcterms:modified xsi:type="dcterms:W3CDTF">2016-12-12T12:35:00Z</dcterms:modified>
</cp:coreProperties>
</file>