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9B" w:rsidRPr="0005399B" w:rsidRDefault="0005399B" w:rsidP="0005399B">
      <w:pPr>
        <w:ind w:left="397"/>
        <w:jc w:val="both"/>
        <w:rPr>
          <w:rFonts w:ascii="Arial" w:hAnsi="Arial" w:cs="Arial"/>
          <w:sz w:val="22"/>
          <w:szCs w:val="22"/>
        </w:rPr>
      </w:pPr>
    </w:p>
    <w:tbl>
      <w:tblPr>
        <w:tblW w:w="988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5495"/>
        <w:gridCol w:w="1417"/>
        <w:gridCol w:w="2977"/>
      </w:tblGrid>
      <w:tr w:rsidR="00D2136E" w:rsidRPr="005B1876" w:rsidTr="00D2136E">
        <w:trPr>
          <w:trHeight w:val="1213"/>
        </w:trPr>
        <w:tc>
          <w:tcPr>
            <w:tcW w:w="5495" w:type="dxa"/>
            <w:tcBorders>
              <w:top w:val="single" w:sz="4" w:space="0" w:color="auto"/>
              <w:left w:val="single" w:sz="4" w:space="0" w:color="auto"/>
              <w:bottom w:val="single" w:sz="4" w:space="0" w:color="auto"/>
              <w:right w:val="single" w:sz="4" w:space="0" w:color="auto"/>
            </w:tcBorders>
          </w:tcPr>
          <w:p w:rsidR="00D2136E" w:rsidRPr="005B1876" w:rsidRDefault="00D2136E" w:rsidP="005B1876">
            <w:pPr>
              <w:spacing w:after="120"/>
              <w:ind w:right="107"/>
              <w:jc w:val="both"/>
              <w:rPr>
                <w:rFonts w:ascii="Gill Sans MT" w:hAnsi="Gill Sans MT"/>
                <w:sz w:val="16"/>
                <w:szCs w:val="18"/>
              </w:rPr>
            </w:pPr>
          </w:p>
          <w:p w:rsidR="00D2136E" w:rsidRDefault="00D2136E" w:rsidP="00D2136E">
            <w:pPr>
              <w:keepNext/>
              <w:ind w:right="-108"/>
              <w:jc w:val="center"/>
              <w:outlineLvl w:val="6"/>
              <w:rPr>
                <w:rFonts w:ascii="Gill Sans MT" w:hAnsi="Gill Sans MT"/>
                <w:b/>
                <w:sz w:val="56"/>
                <w:szCs w:val="56"/>
              </w:rPr>
            </w:pPr>
            <w:r>
              <w:rPr>
                <w:rFonts w:ascii="Gill Sans MT" w:hAnsi="Gill Sans MT"/>
                <w:b/>
                <w:sz w:val="56"/>
                <w:szCs w:val="56"/>
              </w:rPr>
              <w:t>Chief Executive’s</w:t>
            </w:r>
          </w:p>
          <w:p w:rsidR="00D2136E" w:rsidRPr="005B1876" w:rsidRDefault="00D2136E" w:rsidP="00D2136E">
            <w:pPr>
              <w:keepNext/>
              <w:ind w:right="-108"/>
              <w:jc w:val="center"/>
              <w:outlineLvl w:val="6"/>
              <w:rPr>
                <w:rFonts w:ascii="Gill Sans" w:hAnsi="Gill Sans"/>
                <w:b/>
                <w:i/>
                <w:sz w:val="22"/>
                <w:szCs w:val="22"/>
              </w:rPr>
            </w:pPr>
            <w:r>
              <w:rPr>
                <w:rFonts w:ascii="Gill Sans MT" w:hAnsi="Gill Sans MT"/>
                <w:b/>
                <w:sz w:val="56"/>
                <w:szCs w:val="56"/>
              </w:rPr>
              <w:t>Report</w:t>
            </w:r>
          </w:p>
        </w:tc>
        <w:tc>
          <w:tcPr>
            <w:tcW w:w="1417" w:type="dxa"/>
            <w:tcBorders>
              <w:top w:val="single" w:sz="4" w:space="0" w:color="auto"/>
              <w:left w:val="single" w:sz="4" w:space="0" w:color="auto"/>
              <w:bottom w:val="single" w:sz="4" w:space="0" w:color="auto"/>
              <w:right w:val="single" w:sz="4" w:space="0" w:color="auto"/>
            </w:tcBorders>
          </w:tcPr>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D2136E" w:rsidP="005B1876">
            <w:pPr>
              <w:ind w:right="-108"/>
              <w:jc w:val="both"/>
              <w:rPr>
                <w:rFonts w:ascii="Gill Sans MT" w:hAnsi="Gill Sans MT"/>
                <w:sz w:val="18"/>
                <w:szCs w:val="18"/>
              </w:rPr>
            </w:pPr>
          </w:p>
          <w:p w:rsidR="00D2136E" w:rsidRPr="005B1876" w:rsidRDefault="003F5FC7" w:rsidP="005B1876">
            <w:pPr>
              <w:ind w:right="-108"/>
              <w:jc w:val="both"/>
              <w:rPr>
                <w:rFonts w:ascii="Gill Sans MT" w:hAnsi="Gill Sans MT"/>
                <w:sz w:val="18"/>
                <w:szCs w:val="18"/>
              </w:rPr>
            </w:pPr>
            <w:r>
              <w:rPr>
                <w:rFonts w:ascii="Gill Sans MT" w:hAnsi="Gill Sans MT"/>
                <w:sz w:val="18"/>
                <w:szCs w:val="18"/>
              </w:rPr>
              <w:t>2014</w:t>
            </w:r>
            <w:r w:rsidR="006F06DC">
              <w:rPr>
                <w:rFonts w:ascii="Gill Sans MT" w:hAnsi="Gill Sans MT"/>
                <w:sz w:val="18"/>
                <w:szCs w:val="18"/>
              </w:rPr>
              <w:t>/01</w:t>
            </w:r>
          </w:p>
          <w:p w:rsidR="00D2136E" w:rsidRPr="005B1876" w:rsidRDefault="00D2136E" w:rsidP="003F5FC7">
            <w:pPr>
              <w:ind w:right="-108"/>
              <w:jc w:val="both"/>
              <w:rPr>
                <w:rFonts w:ascii="Gill Sans" w:hAnsi="Gill Sans"/>
                <w:b/>
                <w:i/>
                <w:sz w:val="22"/>
                <w:szCs w:val="22"/>
              </w:rPr>
            </w:pPr>
            <w:r w:rsidRPr="005B1876">
              <w:rPr>
                <w:rFonts w:ascii="Gill Sans MT" w:hAnsi="Gill Sans MT"/>
                <w:sz w:val="18"/>
                <w:szCs w:val="18"/>
              </w:rPr>
              <w:t>Jan/Feb 201</w:t>
            </w:r>
            <w:r w:rsidR="003F5FC7">
              <w:rPr>
                <w:rFonts w:ascii="Gill Sans MT" w:hAnsi="Gill Sans MT"/>
                <w:sz w:val="18"/>
                <w:szCs w:val="18"/>
              </w:rPr>
              <w:t>4</w:t>
            </w:r>
            <w:r w:rsidRPr="005B1876">
              <w:rPr>
                <w:rFonts w:ascii="Gill Sans MT" w:hAnsi="Gill Sans MT"/>
                <w:sz w:val="18"/>
                <w:szCs w:val="18"/>
              </w:rPr>
              <w:t xml:space="preserve">         </w:t>
            </w:r>
            <w:r w:rsidRPr="005B1876">
              <w:rPr>
                <w:rFonts w:ascii="Gill Sans MT" w:hAnsi="Gill Sans MT"/>
                <w:sz w:val="56"/>
                <w:szCs w:val="56"/>
              </w:rPr>
              <w:t xml:space="preserve"> </w:t>
            </w:r>
          </w:p>
        </w:tc>
        <w:tc>
          <w:tcPr>
            <w:tcW w:w="2977" w:type="dxa"/>
            <w:tcBorders>
              <w:top w:val="single" w:sz="4" w:space="0" w:color="auto"/>
              <w:left w:val="single" w:sz="4" w:space="0" w:color="auto"/>
              <w:bottom w:val="single" w:sz="4" w:space="0" w:color="auto"/>
              <w:right w:val="single" w:sz="4" w:space="0" w:color="auto"/>
            </w:tcBorders>
          </w:tcPr>
          <w:p w:rsidR="00D2136E" w:rsidRPr="005B1876" w:rsidRDefault="00D2136E" w:rsidP="005B1876">
            <w:pPr>
              <w:spacing w:after="120"/>
              <w:ind w:right="107"/>
              <w:jc w:val="both"/>
              <w:rPr>
                <w:rFonts w:ascii="Gill Sans" w:hAnsi="Gill Sans"/>
                <w:b/>
                <w:i/>
                <w:sz w:val="22"/>
                <w:szCs w:val="22"/>
              </w:rPr>
            </w:pPr>
            <w:r w:rsidRPr="005B1876">
              <w:rPr>
                <w:rFonts w:ascii="Century Gothic" w:hAnsi="Century Gothic"/>
                <w:noProof/>
                <w:lang w:eastAsia="en-GB"/>
              </w:rPr>
              <w:drawing>
                <wp:inline distT="0" distB="0" distL="0" distR="0" wp14:anchorId="14491A40" wp14:editId="5380B515">
                  <wp:extent cx="1811547" cy="989956"/>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726" cy="990600"/>
                          </a:xfrm>
                          <a:prstGeom prst="rect">
                            <a:avLst/>
                          </a:prstGeom>
                          <a:noFill/>
                          <a:ln>
                            <a:noFill/>
                          </a:ln>
                        </pic:spPr>
                      </pic:pic>
                    </a:graphicData>
                  </a:graphic>
                </wp:inline>
              </w:drawing>
            </w:r>
          </w:p>
        </w:tc>
      </w:tr>
    </w:tbl>
    <w:p w:rsidR="005B1876" w:rsidRPr="005B1876" w:rsidRDefault="005B1876" w:rsidP="005B1876">
      <w:pPr>
        <w:jc w:val="both"/>
        <w:rPr>
          <w:rFonts w:ascii="Gill Sans" w:hAnsi="Gill Sans"/>
          <w:bCs/>
          <w:color w:val="FF0000"/>
          <w:sz w:val="22"/>
          <w:szCs w:val="20"/>
          <w:lang w:eastAsia="en-GB"/>
        </w:rPr>
      </w:pPr>
    </w:p>
    <w:p w:rsidR="003F5FC7" w:rsidRPr="003F5FC7" w:rsidRDefault="003F5FC7" w:rsidP="003F5FC7">
      <w:pPr>
        <w:jc w:val="both"/>
        <w:rPr>
          <w:rFonts w:ascii="Arial" w:hAnsi="Arial" w:cs="Arial"/>
          <w:b/>
          <w:sz w:val="20"/>
          <w:szCs w:val="20"/>
        </w:rPr>
      </w:pPr>
      <w:r w:rsidRPr="003F5FC7">
        <w:rPr>
          <w:rFonts w:ascii="Arial" w:hAnsi="Arial" w:cs="Arial"/>
          <w:b/>
          <w:sz w:val="20"/>
          <w:szCs w:val="20"/>
        </w:rPr>
        <w:t>GP Contract Agreement 2014/15</w:t>
      </w:r>
    </w:p>
    <w:p w:rsidR="003F5FC7" w:rsidRPr="003F5FC7" w:rsidRDefault="003F5FC7" w:rsidP="003F5FC7">
      <w:pPr>
        <w:jc w:val="both"/>
        <w:rPr>
          <w:rFonts w:ascii="Arial" w:hAnsi="Arial" w:cs="Arial"/>
          <w:sz w:val="20"/>
          <w:szCs w:val="20"/>
        </w:rPr>
      </w:pPr>
      <w:r w:rsidRPr="003F5FC7">
        <w:rPr>
          <w:rFonts w:ascii="Arial" w:hAnsi="Arial" w:cs="Arial"/>
          <w:sz w:val="20"/>
          <w:szCs w:val="20"/>
        </w:rPr>
        <w:t>I have written to all practices following the announcement of the GP Contract Agreement applying from April 2014.  There are numerous and quite wide ranging changes, and further details are expected, for example, in terms of the new DES and the IT Specifications.</w:t>
      </w:r>
    </w:p>
    <w:p w:rsidR="003F5FC7" w:rsidRPr="003F5FC7" w:rsidRDefault="003F5FC7" w:rsidP="003F5FC7">
      <w:pPr>
        <w:jc w:val="both"/>
        <w:rPr>
          <w:rFonts w:ascii="Arial" w:hAnsi="Arial" w:cs="Arial"/>
          <w:sz w:val="20"/>
          <w:szCs w:val="20"/>
        </w:rPr>
      </w:pPr>
    </w:p>
    <w:p w:rsidR="003F5FC7" w:rsidRPr="003F5FC7" w:rsidRDefault="003F5FC7" w:rsidP="003F5FC7">
      <w:pPr>
        <w:jc w:val="both"/>
        <w:rPr>
          <w:rFonts w:ascii="Arial" w:hAnsi="Arial" w:cs="Arial"/>
          <w:sz w:val="20"/>
          <w:szCs w:val="20"/>
        </w:rPr>
      </w:pPr>
      <w:r w:rsidRPr="003F5FC7">
        <w:rPr>
          <w:rFonts w:ascii="Arial" w:hAnsi="Arial" w:cs="Arial"/>
          <w:sz w:val="20"/>
          <w:szCs w:val="20"/>
        </w:rPr>
        <w:t>Colleagues should also note that the seven year transition to equitable funding will commence for GMS contractors in April 2014, with a redistribution of current MPIG payments to all GMS contractors.  This was however part of the imposed contract changes in 2013/14.</w:t>
      </w:r>
    </w:p>
    <w:p w:rsidR="003F5FC7" w:rsidRPr="003F5FC7" w:rsidRDefault="003F5FC7" w:rsidP="003F5FC7">
      <w:pPr>
        <w:jc w:val="both"/>
        <w:rPr>
          <w:rFonts w:ascii="Arial" w:hAnsi="Arial" w:cs="Arial"/>
          <w:sz w:val="20"/>
          <w:szCs w:val="20"/>
        </w:rPr>
      </w:pPr>
    </w:p>
    <w:p w:rsidR="003F5FC7" w:rsidRDefault="003F5FC7" w:rsidP="003F5FC7">
      <w:pPr>
        <w:jc w:val="both"/>
        <w:rPr>
          <w:rFonts w:ascii="Arial" w:hAnsi="Arial" w:cs="Arial"/>
          <w:sz w:val="20"/>
          <w:szCs w:val="20"/>
        </w:rPr>
      </w:pPr>
      <w:r w:rsidRPr="003F5FC7">
        <w:rPr>
          <w:rFonts w:ascii="Arial" w:hAnsi="Arial" w:cs="Arial"/>
          <w:sz w:val="20"/>
          <w:szCs w:val="20"/>
        </w:rPr>
        <w:t>In terms of PMS contractors, there is no clarity yet regarding contract price changes but it is now apparent that Global Sum, MPIG, and PMS contract payments are not to be aggregated as part of a seven year transition, as the GPC had originally hoped.  This means that PMS practices are likely to face a review by NHS England, through their Area Teams, although where there is a generic contract such as in Croydon the review is likely to be more straightforward.   In fact it may be that ultimately PMS contract prices will rise, as ultimately it is intended that GMS and PMS baseline contract prices should be equivalent.  Of course PMS practices will retain the right to revert to GMS contracts now and during any transitional period.</w:t>
      </w:r>
    </w:p>
    <w:p w:rsidR="001F412B" w:rsidRDefault="001F412B" w:rsidP="003F5FC7">
      <w:pPr>
        <w:jc w:val="both"/>
        <w:rPr>
          <w:rFonts w:ascii="Arial" w:hAnsi="Arial" w:cs="Arial"/>
          <w:sz w:val="20"/>
          <w:szCs w:val="20"/>
        </w:rPr>
      </w:pPr>
    </w:p>
    <w:p w:rsidR="001F412B" w:rsidRPr="001F412B" w:rsidRDefault="001F412B" w:rsidP="001F412B">
      <w:pPr>
        <w:jc w:val="both"/>
        <w:rPr>
          <w:rFonts w:ascii="Arial" w:hAnsi="Arial" w:cs="Arial"/>
          <w:sz w:val="20"/>
          <w:szCs w:val="20"/>
        </w:rPr>
      </w:pPr>
      <w:proofErr w:type="spellStart"/>
      <w:r w:rsidRPr="001F412B">
        <w:rPr>
          <w:rFonts w:ascii="Arial" w:hAnsi="Arial" w:cs="Arial"/>
          <w:b/>
          <w:sz w:val="20"/>
          <w:szCs w:val="20"/>
        </w:rPr>
        <w:t>i</w:t>
      </w:r>
      <w:proofErr w:type="spellEnd"/>
      <w:r w:rsidRPr="001F412B">
        <w:rPr>
          <w:rFonts w:ascii="Arial" w:hAnsi="Arial" w:cs="Arial"/>
          <w:b/>
          <w:sz w:val="20"/>
          <w:szCs w:val="20"/>
        </w:rPr>
        <w:t xml:space="preserve">) MPIG Transition: </w:t>
      </w:r>
      <w:r w:rsidRPr="001F412B">
        <w:rPr>
          <w:rFonts w:ascii="Arial" w:hAnsi="Arial" w:cs="Arial"/>
          <w:sz w:val="20"/>
          <w:szCs w:val="20"/>
        </w:rPr>
        <w:t xml:space="preserve">a seven year transitional process during which the approximately two-thirds of </w:t>
      </w:r>
      <w:proofErr w:type="spellStart"/>
      <w:r w:rsidRPr="001F412B">
        <w:rPr>
          <w:rFonts w:ascii="Arial" w:hAnsi="Arial" w:cs="Arial"/>
          <w:sz w:val="20"/>
          <w:szCs w:val="20"/>
        </w:rPr>
        <w:t>nGMS</w:t>
      </w:r>
      <w:proofErr w:type="spellEnd"/>
      <w:r w:rsidRPr="001F412B">
        <w:rPr>
          <w:rFonts w:ascii="Arial" w:hAnsi="Arial" w:cs="Arial"/>
          <w:sz w:val="20"/>
          <w:szCs w:val="20"/>
        </w:rPr>
        <w:t xml:space="preserve"> practices that continue to receive MPIG will see this phased out was part of the 2013/14 Imposed Contract.  Practices will lose 1/7, in absolute terms of their MPIG, each year.</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 xml:space="preserve">NHS England has identified 98 so-called outlier practices, almost 50% of whom are in London, which are forecast to lose over £3/head once MPIG is fully removed.  Area Teams have been asked to contact these practices and liaise with local LMCs to discuss </w:t>
      </w:r>
      <w:proofErr w:type="spellStart"/>
      <w:r w:rsidRPr="001F412B">
        <w:rPr>
          <w:rFonts w:ascii="Arial" w:hAnsi="Arial" w:cs="Arial"/>
          <w:sz w:val="20"/>
          <w:szCs w:val="20"/>
        </w:rPr>
        <w:t>mitigatory</w:t>
      </w:r>
      <w:proofErr w:type="spellEnd"/>
      <w:r w:rsidRPr="001F412B">
        <w:rPr>
          <w:rFonts w:ascii="Arial" w:hAnsi="Arial" w:cs="Arial"/>
          <w:sz w:val="20"/>
          <w:szCs w:val="20"/>
        </w:rPr>
        <w:t xml:space="preserve"> arrangements, although in the context of a national contract it is difficult to envisage what these may be.  There are, of course, also practices which will lose significant sums but are below the “outlier” threshold and NHS England has not indicated the spread of the effect or why the cut-off price was chosen.</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I have been in touch with Surrey and Sussex Area Team about this issue.</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b/>
          <w:sz w:val="20"/>
          <w:szCs w:val="20"/>
        </w:rPr>
        <w:t>ii)  PMS Review:</w:t>
      </w:r>
      <w:r w:rsidRPr="001F412B">
        <w:rPr>
          <w:rFonts w:ascii="Arial" w:hAnsi="Arial" w:cs="Arial"/>
          <w:sz w:val="20"/>
          <w:szCs w:val="20"/>
        </w:rPr>
        <w:t xml:space="preserve"> following last autumn’s review of PMS funding conducted by Area Teams NHS England </w:t>
      </w:r>
      <w:proofErr w:type="gramStart"/>
      <w:r w:rsidRPr="001F412B">
        <w:rPr>
          <w:rFonts w:ascii="Arial" w:hAnsi="Arial" w:cs="Arial"/>
          <w:sz w:val="20"/>
          <w:szCs w:val="20"/>
        </w:rPr>
        <w:t>have</w:t>
      </w:r>
      <w:proofErr w:type="gramEnd"/>
      <w:r w:rsidRPr="001F412B">
        <w:rPr>
          <w:rFonts w:ascii="Arial" w:hAnsi="Arial" w:cs="Arial"/>
          <w:sz w:val="20"/>
          <w:szCs w:val="20"/>
        </w:rPr>
        <w:t xml:space="preserve"> advised GPC they believe they have identified “excess” payments within PMS Contracts.  However, no further details are available.  It is likely NHS England will request Area Teams to undertake PMS Reviews and this will probably commence with PMS Practices which have not had a Review nor hold generic contracts.  In Surrey and Sussex this means West and East Sussex, where there are approximately 35 PMS Contractors.</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b/>
          <w:sz w:val="20"/>
          <w:szCs w:val="20"/>
        </w:rPr>
        <w:t xml:space="preserve">iii)  2014/15 Contract </w:t>
      </w:r>
      <w:proofErr w:type="gramStart"/>
      <w:r w:rsidRPr="001F412B">
        <w:rPr>
          <w:rFonts w:ascii="Arial" w:hAnsi="Arial" w:cs="Arial"/>
          <w:b/>
          <w:sz w:val="20"/>
          <w:szCs w:val="20"/>
        </w:rPr>
        <w:t>Uplift</w:t>
      </w:r>
      <w:r w:rsidRPr="001F412B">
        <w:rPr>
          <w:rFonts w:ascii="Arial" w:hAnsi="Arial" w:cs="Arial"/>
          <w:sz w:val="20"/>
          <w:szCs w:val="20"/>
        </w:rPr>
        <w:t xml:space="preserve">  NHS</w:t>
      </w:r>
      <w:proofErr w:type="gramEnd"/>
      <w:r w:rsidRPr="001F412B">
        <w:rPr>
          <w:rFonts w:ascii="Arial" w:hAnsi="Arial" w:cs="Arial"/>
          <w:sz w:val="20"/>
          <w:szCs w:val="20"/>
        </w:rPr>
        <w:t xml:space="preserve"> England has confirmed that PMS Contractors will be treated in the same as GMS Contractors in terms of the movement of QOF points, ceasing DESs, and, ultimately, Seniority, into Global Sum/PMS Baselines.  Discussions about rebasing the PMS QOF deduction are continuing.</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proofErr w:type="gramStart"/>
      <w:r w:rsidRPr="001F412B">
        <w:rPr>
          <w:rFonts w:ascii="Arial" w:hAnsi="Arial" w:cs="Arial"/>
          <w:b/>
          <w:sz w:val="20"/>
          <w:szCs w:val="20"/>
        </w:rPr>
        <w:t xml:space="preserve">iv)  </w:t>
      </w:r>
      <w:proofErr w:type="spellStart"/>
      <w:r w:rsidRPr="001F412B">
        <w:rPr>
          <w:rFonts w:ascii="Arial" w:hAnsi="Arial" w:cs="Arial"/>
          <w:b/>
          <w:sz w:val="20"/>
          <w:szCs w:val="20"/>
        </w:rPr>
        <w:t>GPSoC</w:t>
      </w:r>
      <w:proofErr w:type="spellEnd"/>
      <w:proofErr w:type="gramEnd"/>
      <w:r w:rsidRPr="001F412B">
        <w:rPr>
          <w:rFonts w:ascii="Arial" w:hAnsi="Arial" w:cs="Arial"/>
          <w:b/>
          <w:sz w:val="20"/>
          <w:szCs w:val="20"/>
        </w:rPr>
        <w:t xml:space="preserve">: </w:t>
      </w:r>
      <w:r w:rsidRPr="001F412B">
        <w:rPr>
          <w:rFonts w:ascii="Arial" w:hAnsi="Arial" w:cs="Arial"/>
          <w:sz w:val="20"/>
          <w:szCs w:val="20"/>
        </w:rPr>
        <w:t xml:space="preserve"> a new </w:t>
      </w:r>
      <w:proofErr w:type="spellStart"/>
      <w:r w:rsidRPr="001F412B">
        <w:rPr>
          <w:rFonts w:ascii="Arial" w:hAnsi="Arial" w:cs="Arial"/>
          <w:sz w:val="20"/>
          <w:szCs w:val="20"/>
        </w:rPr>
        <w:t>GPSoC</w:t>
      </w:r>
      <w:proofErr w:type="spellEnd"/>
      <w:r w:rsidRPr="001F412B">
        <w:rPr>
          <w:rFonts w:ascii="Arial" w:hAnsi="Arial" w:cs="Arial"/>
          <w:sz w:val="20"/>
          <w:szCs w:val="20"/>
        </w:rPr>
        <w:t xml:space="preserve"> Agreement is being negotiated; the indications are that a wider range of ‘kit’ will be considered core and therefore funded by NHS England.</w:t>
      </w:r>
    </w:p>
    <w:p w:rsidR="001F412B" w:rsidRPr="003F5FC7" w:rsidRDefault="001F412B" w:rsidP="003F5FC7">
      <w:pPr>
        <w:jc w:val="both"/>
        <w:rPr>
          <w:rFonts w:ascii="Arial" w:hAnsi="Arial" w:cs="Arial"/>
          <w:sz w:val="20"/>
          <w:szCs w:val="20"/>
        </w:rPr>
      </w:pPr>
    </w:p>
    <w:p w:rsidR="003F5FC7" w:rsidRPr="003F5FC7" w:rsidRDefault="003F5FC7" w:rsidP="003F5FC7">
      <w:pPr>
        <w:jc w:val="both"/>
        <w:rPr>
          <w:rFonts w:ascii="Arial" w:hAnsi="Arial" w:cs="Arial"/>
          <w:b/>
          <w:sz w:val="20"/>
          <w:szCs w:val="20"/>
        </w:rPr>
      </w:pPr>
      <w:proofErr w:type="spellStart"/>
      <w:r w:rsidRPr="003F5FC7">
        <w:rPr>
          <w:rFonts w:ascii="Arial" w:hAnsi="Arial" w:cs="Arial"/>
          <w:b/>
          <w:sz w:val="20"/>
          <w:szCs w:val="20"/>
        </w:rPr>
        <w:t>Care.data</w:t>
      </w:r>
      <w:proofErr w:type="spellEnd"/>
      <w:r w:rsidRPr="003F5FC7">
        <w:rPr>
          <w:rFonts w:ascii="Arial" w:hAnsi="Arial" w:cs="Arial"/>
          <w:b/>
          <w:sz w:val="20"/>
          <w:szCs w:val="20"/>
        </w:rPr>
        <w:t xml:space="preserve"> </w:t>
      </w:r>
    </w:p>
    <w:p w:rsidR="003F5FC7" w:rsidRDefault="003F5FC7" w:rsidP="003F5FC7">
      <w:pPr>
        <w:jc w:val="both"/>
        <w:rPr>
          <w:rFonts w:ascii="Arial" w:hAnsi="Arial" w:cs="Arial"/>
          <w:sz w:val="20"/>
          <w:szCs w:val="20"/>
        </w:rPr>
      </w:pPr>
      <w:r w:rsidRPr="003F5FC7">
        <w:rPr>
          <w:rFonts w:ascii="Arial" w:hAnsi="Arial" w:cs="Arial"/>
          <w:sz w:val="20"/>
          <w:szCs w:val="20"/>
        </w:rPr>
        <w:t xml:space="preserve">NHS England </w:t>
      </w:r>
      <w:proofErr w:type="gramStart"/>
      <w:r w:rsidRPr="003F5FC7">
        <w:rPr>
          <w:rFonts w:ascii="Arial" w:hAnsi="Arial" w:cs="Arial"/>
          <w:sz w:val="20"/>
          <w:szCs w:val="20"/>
        </w:rPr>
        <w:t>have</w:t>
      </w:r>
      <w:proofErr w:type="gramEnd"/>
      <w:r w:rsidRPr="003F5FC7">
        <w:rPr>
          <w:rFonts w:ascii="Arial" w:hAnsi="Arial" w:cs="Arial"/>
          <w:sz w:val="20"/>
          <w:szCs w:val="20"/>
        </w:rPr>
        <w:t xml:space="preserve"> now confirmed that a England wide household mailing about </w:t>
      </w:r>
      <w:proofErr w:type="spellStart"/>
      <w:r w:rsidRPr="003F5FC7">
        <w:rPr>
          <w:rFonts w:ascii="Arial" w:hAnsi="Arial" w:cs="Arial"/>
          <w:sz w:val="20"/>
          <w:szCs w:val="20"/>
        </w:rPr>
        <w:t>care.data</w:t>
      </w:r>
      <w:proofErr w:type="spellEnd"/>
      <w:r w:rsidRPr="003F5FC7">
        <w:rPr>
          <w:rFonts w:ascii="Arial" w:hAnsi="Arial" w:cs="Arial"/>
          <w:sz w:val="20"/>
          <w:szCs w:val="20"/>
        </w:rPr>
        <w:t xml:space="preserve"> will take place in January.  I have written to all practices about this, including a copy of the recently available FAQs.  Practices should use the publicity material available in order to fulfil their responsibilities as the data controllers.  The LMC is hoping to send out a template opt-out form for practices to use.  </w:t>
      </w:r>
    </w:p>
    <w:p w:rsidR="001F412B" w:rsidRDefault="001F412B" w:rsidP="003F5FC7">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 xml:space="preserve">Patients across England have started to receive leaflets about the </w:t>
      </w:r>
      <w:proofErr w:type="spellStart"/>
      <w:r w:rsidRPr="001F412B">
        <w:rPr>
          <w:rFonts w:ascii="Arial" w:hAnsi="Arial" w:cs="Arial"/>
          <w:sz w:val="20"/>
          <w:szCs w:val="20"/>
        </w:rPr>
        <w:t>care.data</w:t>
      </w:r>
      <w:proofErr w:type="spellEnd"/>
      <w:r w:rsidRPr="001F412B">
        <w:rPr>
          <w:rFonts w:ascii="Arial" w:hAnsi="Arial" w:cs="Arial"/>
          <w:sz w:val="20"/>
          <w:szCs w:val="20"/>
        </w:rPr>
        <w:t xml:space="preserve"> programme.  This is also being given the strapline ‘Better Information means Better Care’.</w:t>
      </w:r>
    </w:p>
    <w:p w:rsidR="001F412B" w:rsidRPr="001F412B" w:rsidRDefault="001F412B" w:rsidP="001F412B">
      <w:pPr>
        <w:jc w:val="both"/>
        <w:rPr>
          <w:rFonts w:ascii="Arial" w:hAnsi="Arial" w:cs="Arial"/>
          <w:sz w:val="20"/>
          <w:szCs w:val="20"/>
        </w:rPr>
      </w:pPr>
      <w:bookmarkStart w:id="0" w:name="_GoBack"/>
      <w:bookmarkEnd w:id="0"/>
      <w:r w:rsidRPr="001F412B">
        <w:rPr>
          <w:rFonts w:ascii="Arial" w:hAnsi="Arial" w:cs="Arial"/>
          <w:sz w:val="20"/>
          <w:szCs w:val="20"/>
        </w:rPr>
        <w:lastRenderedPageBreak/>
        <w:t>Practices should have received publicity material from HSCIC (Health and Social Care Information Centre) and in order to comply with their responsibilities as data controllers GPs are asked to display this, for example, by putting posters up in their waiting rooms.  I have written to practices noting the extensive FAQs that have been developed, and provided two examples of ‘opt-out’ forms or use if patients request this.</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There is an animated video about the programme available at:</w:t>
      </w:r>
      <w:r>
        <w:rPr>
          <w:rFonts w:ascii="Arial" w:hAnsi="Arial" w:cs="Arial"/>
          <w:sz w:val="20"/>
          <w:szCs w:val="20"/>
        </w:rPr>
        <w:t xml:space="preserve"> </w:t>
      </w:r>
    </w:p>
    <w:p w:rsidR="001F412B" w:rsidRPr="001F412B" w:rsidRDefault="00270BFB" w:rsidP="001F412B">
      <w:pPr>
        <w:jc w:val="both"/>
        <w:rPr>
          <w:rFonts w:ascii="Arial" w:hAnsi="Arial" w:cs="Arial"/>
          <w:sz w:val="18"/>
          <w:szCs w:val="18"/>
        </w:rPr>
      </w:pPr>
      <w:hyperlink r:id="rId10" w:history="1">
        <w:r w:rsidR="001F412B" w:rsidRPr="001F412B">
          <w:rPr>
            <w:rStyle w:val="Hyperlink"/>
            <w:rFonts w:ascii="Arial" w:hAnsi="Arial" w:cs="Arial"/>
            <w:sz w:val="18"/>
            <w:szCs w:val="18"/>
          </w:rPr>
          <w:t>http://www.england.nhs.uk/2014/01/23/patient-data-2</w:t>
        </w:r>
      </w:hyperlink>
    </w:p>
    <w:p w:rsidR="001F412B" w:rsidRPr="001F412B" w:rsidRDefault="001F412B" w:rsidP="001F412B">
      <w:pPr>
        <w:jc w:val="both"/>
        <w:rPr>
          <w:rFonts w:ascii="Arial" w:hAnsi="Arial" w:cs="Arial"/>
          <w:sz w:val="20"/>
          <w:szCs w:val="20"/>
        </w:rPr>
      </w:pPr>
    </w:p>
    <w:p w:rsidR="001F412B" w:rsidRPr="003F5FC7" w:rsidRDefault="001F412B" w:rsidP="003F5FC7">
      <w:pPr>
        <w:jc w:val="both"/>
        <w:rPr>
          <w:rFonts w:ascii="Arial" w:hAnsi="Arial" w:cs="Arial"/>
          <w:sz w:val="20"/>
          <w:szCs w:val="20"/>
        </w:rPr>
      </w:pPr>
      <w:r w:rsidRPr="001F412B">
        <w:rPr>
          <w:rFonts w:ascii="Arial" w:hAnsi="Arial" w:cs="Arial"/>
          <w:sz w:val="20"/>
          <w:szCs w:val="20"/>
        </w:rPr>
        <w:t xml:space="preserve">Colleagues should note that, concurrently, the SCR programme continues and participation in this is a contractual requirement from April 2014.  Patients are entitled to opt-out of both, or either, of the </w:t>
      </w:r>
      <w:proofErr w:type="spellStart"/>
      <w:r w:rsidRPr="001F412B">
        <w:rPr>
          <w:rFonts w:ascii="Arial" w:hAnsi="Arial" w:cs="Arial"/>
          <w:sz w:val="20"/>
          <w:szCs w:val="20"/>
        </w:rPr>
        <w:t>care.data</w:t>
      </w:r>
      <w:proofErr w:type="spellEnd"/>
      <w:r w:rsidRPr="001F412B">
        <w:rPr>
          <w:rFonts w:ascii="Arial" w:hAnsi="Arial" w:cs="Arial"/>
          <w:sz w:val="20"/>
          <w:szCs w:val="20"/>
        </w:rPr>
        <w:t xml:space="preserve"> and SCR programmes and although there is likely to be an overlap of the sceptical patients </w:t>
      </w:r>
      <w:proofErr w:type="gramStart"/>
      <w:r w:rsidRPr="001F412B">
        <w:rPr>
          <w:rFonts w:ascii="Arial" w:hAnsi="Arial" w:cs="Arial"/>
          <w:sz w:val="20"/>
          <w:szCs w:val="20"/>
        </w:rPr>
        <w:t>will need</w:t>
      </w:r>
      <w:proofErr w:type="gramEnd"/>
      <w:r w:rsidRPr="001F412B">
        <w:rPr>
          <w:rFonts w:ascii="Arial" w:hAnsi="Arial" w:cs="Arial"/>
          <w:sz w:val="20"/>
          <w:szCs w:val="20"/>
        </w:rPr>
        <w:t xml:space="preserve"> both opt-out codes included in their medical records.</w:t>
      </w:r>
    </w:p>
    <w:p w:rsidR="003F5FC7" w:rsidRPr="003F5FC7" w:rsidRDefault="003F5FC7" w:rsidP="003F5FC7">
      <w:pPr>
        <w:jc w:val="both"/>
        <w:rPr>
          <w:rFonts w:ascii="Arial" w:hAnsi="Arial" w:cs="Arial"/>
          <w:b/>
          <w:sz w:val="20"/>
          <w:szCs w:val="20"/>
        </w:rPr>
      </w:pPr>
    </w:p>
    <w:p w:rsidR="003F5FC7" w:rsidRPr="003F5FC7" w:rsidRDefault="003F5FC7" w:rsidP="003F5FC7">
      <w:pPr>
        <w:jc w:val="both"/>
        <w:rPr>
          <w:rFonts w:ascii="Arial" w:hAnsi="Arial" w:cs="Arial"/>
          <w:b/>
          <w:sz w:val="20"/>
          <w:szCs w:val="20"/>
        </w:rPr>
      </w:pPr>
      <w:r w:rsidRPr="003F5FC7">
        <w:rPr>
          <w:rFonts w:ascii="Arial" w:hAnsi="Arial" w:cs="Arial"/>
          <w:b/>
          <w:sz w:val="20"/>
          <w:szCs w:val="20"/>
        </w:rPr>
        <w:t>GP Payment Issues</w:t>
      </w:r>
    </w:p>
    <w:p w:rsidR="003F5FC7" w:rsidRPr="003F5FC7" w:rsidRDefault="003F5FC7" w:rsidP="003F5FC7">
      <w:pPr>
        <w:jc w:val="both"/>
        <w:rPr>
          <w:rFonts w:ascii="Arial" w:hAnsi="Arial" w:cs="Arial"/>
          <w:sz w:val="20"/>
          <w:szCs w:val="20"/>
        </w:rPr>
      </w:pPr>
      <w:r w:rsidRPr="003F5FC7">
        <w:rPr>
          <w:rFonts w:ascii="Arial" w:hAnsi="Arial" w:cs="Arial"/>
          <w:sz w:val="20"/>
          <w:szCs w:val="20"/>
        </w:rPr>
        <w:t>Many colleagues will know of the difficulties Practice Managers have experienced in terms of payments since April 2013.  This partly stemmed from the fact that payments are now being received from three separate bodies, the Area Team (DESs and some LESs), CCGs (LESs) and Public Health at the local Authority (Public Health Programmes).  The other difficulty has been the inadequate information provided to practices when payments have been made, making it almost impossible to reconcile some invoices and received payments  especially as the latter have sometimes been combined meaning the payment and invoice (s) are not the same figure.  This has been escalated to the South London Area Team, but also through GPC to NHS England and improvements have been agreed which should mean significantly more information is available to practices.  I will write to practices when further information is available.  Tracey has recently contacted all practices with further information about the CQRS reporting system which I hope has been helpful.</w:t>
      </w:r>
    </w:p>
    <w:p w:rsidR="003F5FC7" w:rsidRPr="003F5FC7" w:rsidRDefault="003F5FC7" w:rsidP="003F5FC7">
      <w:pPr>
        <w:jc w:val="both"/>
        <w:rPr>
          <w:rFonts w:ascii="Arial" w:hAnsi="Arial" w:cs="Arial"/>
          <w:b/>
          <w:sz w:val="20"/>
          <w:szCs w:val="20"/>
        </w:rPr>
      </w:pPr>
    </w:p>
    <w:p w:rsidR="003F5FC7" w:rsidRPr="003F5FC7" w:rsidRDefault="003F5FC7" w:rsidP="003F5FC7">
      <w:pPr>
        <w:jc w:val="both"/>
        <w:rPr>
          <w:rFonts w:ascii="Arial" w:hAnsi="Arial" w:cs="Arial"/>
          <w:b/>
          <w:sz w:val="20"/>
          <w:szCs w:val="20"/>
        </w:rPr>
      </w:pPr>
      <w:r w:rsidRPr="003F5FC7">
        <w:rPr>
          <w:rFonts w:ascii="Arial" w:hAnsi="Arial" w:cs="Arial"/>
          <w:b/>
          <w:sz w:val="20"/>
          <w:szCs w:val="20"/>
        </w:rPr>
        <w:t>Immunisation Issues</w:t>
      </w:r>
    </w:p>
    <w:p w:rsidR="003F5FC7" w:rsidRPr="003F5FC7" w:rsidRDefault="003F5FC7" w:rsidP="003F5FC7">
      <w:pPr>
        <w:jc w:val="both"/>
        <w:rPr>
          <w:rFonts w:ascii="Arial" w:hAnsi="Arial" w:cs="Arial"/>
          <w:sz w:val="20"/>
          <w:szCs w:val="20"/>
        </w:rPr>
      </w:pPr>
      <w:r w:rsidRPr="003F5FC7">
        <w:rPr>
          <w:rFonts w:ascii="Arial" w:hAnsi="Arial" w:cs="Arial"/>
          <w:sz w:val="20"/>
          <w:szCs w:val="20"/>
        </w:rPr>
        <w:t xml:space="preserve">A number of issues have been covered recently; the Department of Health has confirmed that practices are not obliged to use </w:t>
      </w:r>
      <w:proofErr w:type="spellStart"/>
      <w:r w:rsidRPr="003F5FC7">
        <w:rPr>
          <w:rFonts w:ascii="Arial" w:hAnsi="Arial" w:cs="Arial"/>
          <w:sz w:val="20"/>
          <w:szCs w:val="20"/>
        </w:rPr>
        <w:t>Fluenz</w:t>
      </w:r>
      <w:proofErr w:type="spellEnd"/>
      <w:r w:rsidRPr="003F5FC7">
        <w:rPr>
          <w:rFonts w:ascii="Arial" w:hAnsi="Arial" w:cs="Arial"/>
          <w:sz w:val="20"/>
          <w:szCs w:val="20"/>
        </w:rPr>
        <w:t xml:space="preserve"> for at risk children and it is acceptable to use the inactivated flu vaccine if this is available in the practice.  Practices are also reminded that </w:t>
      </w:r>
      <w:proofErr w:type="spellStart"/>
      <w:r w:rsidRPr="003F5FC7">
        <w:rPr>
          <w:rFonts w:ascii="Arial" w:hAnsi="Arial" w:cs="Arial"/>
          <w:sz w:val="20"/>
          <w:szCs w:val="20"/>
        </w:rPr>
        <w:t>Fluenz</w:t>
      </w:r>
      <w:proofErr w:type="spellEnd"/>
      <w:r w:rsidRPr="003F5FC7">
        <w:rPr>
          <w:rFonts w:ascii="Arial" w:hAnsi="Arial" w:cs="Arial"/>
          <w:sz w:val="20"/>
          <w:szCs w:val="20"/>
        </w:rPr>
        <w:t xml:space="preserve"> has a shorter shelf life (of only 18 weeks) than other influenza vaccines and this will of course be partly taken up by the time the vaccine is in the supply chain before it reaches the practice.  I understand currently supplied </w:t>
      </w:r>
      <w:proofErr w:type="spellStart"/>
      <w:r w:rsidRPr="003F5FC7">
        <w:rPr>
          <w:rFonts w:ascii="Arial" w:hAnsi="Arial" w:cs="Arial"/>
          <w:sz w:val="20"/>
          <w:szCs w:val="20"/>
        </w:rPr>
        <w:t>Fluenz</w:t>
      </w:r>
      <w:proofErr w:type="spellEnd"/>
      <w:r w:rsidRPr="003F5FC7">
        <w:rPr>
          <w:rFonts w:ascii="Arial" w:hAnsi="Arial" w:cs="Arial"/>
          <w:sz w:val="20"/>
          <w:szCs w:val="20"/>
        </w:rPr>
        <w:t xml:space="preserve"> will expire on the 16</w:t>
      </w:r>
      <w:r w:rsidRPr="003F5FC7">
        <w:rPr>
          <w:rFonts w:ascii="Arial" w:hAnsi="Arial" w:cs="Arial"/>
          <w:sz w:val="20"/>
          <w:szCs w:val="20"/>
          <w:vertAlign w:val="superscript"/>
        </w:rPr>
        <w:t>th</w:t>
      </w:r>
      <w:r w:rsidRPr="003F5FC7">
        <w:rPr>
          <w:rFonts w:ascii="Arial" w:hAnsi="Arial" w:cs="Arial"/>
          <w:sz w:val="20"/>
          <w:szCs w:val="20"/>
        </w:rPr>
        <w:t xml:space="preserve"> January 2014.  Practices should be careful to check expiry dates on all vaccines but this is particularly relevant to </w:t>
      </w:r>
      <w:proofErr w:type="spellStart"/>
      <w:r w:rsidRPr="003F5FC7">
        <w:rPr>
          <w:rFonts w:ascii="Arial" w:hAnsi="Arial" w:cs="Arial"/>
          <w:sz w:val="20"/>
          <w:szCs w:val="20"/>
        </w:rPr>
        <w:t>Fluenz</w:t>
      </w:r>
      <w:proofErr w:type="spellEnd"/>
      <w:r w:rsidRPr="003F5FC7">
        <w:rPr>
          <w:rFonts w:ascii="Arial" w:hAnsi="Arial" w:cs="Arial"/>
          <w:sz w:val="20"/>
          <w:szCs w:val="20"/>
        </w:rPr>
        <w:t xml:space="preserve">.  </w:t>
      </w:r>
    </w:p>
    <w:p w:rsidR="003F5FC7" w:rsidRPr="003F5FC7" w:rsidRDefault="003F5FC7" w:rsidP="003F5FC7">
      <w:pPr>
        <w:jc w:val="both"/>
        <w:rPr>
          <w:rFonts w:ascii="Arial" w:hAnsi="Arial" w:cs="Arial"/>
          <w:sz w:val="20"/>
          <w:szCs w:val="20"/>
        </w:rPr>
      </w:pPr>
    </w:p>
    <w:p w:rsidR="003F5FC7" w:rsidRPr="003F5FC7" w:rsidRDefault="003F5FC7" w:rsidP="003F5FC7">
      <w:pPr>
        <w:jc w:val="both"/>
        <w:rPr>
          <w:rFonts w:ascii="Arial" w:hAnsi="Arial" w:cs="Arial"/>
          <w:sz w:val="20"/>
          <w:szCs w:val="20"/>
        </w:rPr>
      </w:pPr>
      <w:r w:rsidRPr="003F5FC7">
        <w:rPr>
          <w:rFonts w:ascii="Arial" w:hAnsi="Arial" w:cs="Arial"/>
          <w:sz w:val="20"/>
          <w:szCs w:val="20"/>
        </w:rPr>
        <w:t>In addition the Chief Medical Officer has now confirmed that Locum GPs can attend their registered practice to receive their flu immunisation and that this can be claimed for under the LES since these practitioners represent a target group.</w:t>
      </w:r>
    </w:p>
    <w:p w:rsidR="003F5FC7" w:rsidRPr="003F5FC7" w:rsidRDefault="003F5FC7" w:rsidP="003F5FC7">
      <w:pPr>
        <w:jc w:val="both"/>
        <w:rPr>
          <w:rFonts w:ascii="Arial" w:hAnsi="Arial" w:cs="Arial"/>
          <w:b/>
          <w:sz w:val="20"/>
          <w:szCs w:val="20"/>
        </w:rPr>
      </w:pPr>
    </w:p>
    <w:p w:rsidR="003F5FC7" w:rsidRPr="003F5FC7" w:rsidRDefault="003F5FC7" w:rsidP="003F5FC7">
      <w:pPr>
        <w:jc w:val="both"/>
        <w:rPr>
          <w:rFonts w:ascii="Arial" w:hAnsi="Arial" w:cs="Arial"/>
          <w:b/>
          <w:sz w:val="20"/>
          <w:szCs w:val="20"/>
        </w:rPr>
      </w:pPr>
      <w:r w:rsidRPr="003F5FC7">
        <w:rPr>
          <w:rFonts w:ascii="Arial" w:hAnsi="Arial" w:cs="Arial"/>
          <w:b/>
          <w:sz w:val="20"/>
          <w:szCs w:val="20"/>
        </w:rPr>
        <w:t>Communication from GPC/LMC</w:t>
      </w:r>
    </w:p>
    <w:p w:rsidR="003F5FC7" w:rsidRDefault="003F5FC7" w:rsidP="003F5FC7">
      <w:pPr>
        <w:jc w:val="both"/>
        <w:rPr>
          <w:rFonts w:ascii="Arial" w:hAnsi="Arial" w:cs="Arial"/>
          <w:sz w:val="20"/>
          <w:szCs w:val="20"/>
        </w:rPr>
      </w:pPr>
      <w:r w:rsidRPr="003F5FC7">
        <w:rPr>
          <w:rFonts w:ascii="Arial" w:hAnsi="Arial" w:cs="Arial"/>
          <w:sz w:val="20"/>
          <w:szCs w:val="20"/>
        </w:rPr>
        <w:t xml:space="preserve">Having accepted criticism from GPC members, LMCs, and individual GPs, the GPC has revamped its website although this remains a part of the BMA site.  The new address is </w:t>
      </w:r>
      <w:hyperlink r:id="rId11" w:history="1">
        <w:r w:rsidRPr="003F5FC7">
          <w:rPr>
            <w:rStyle w:val="Hyperlink"/>
            <w:rFonts w:ascii="Arial" w:hAnsi="Arial" w:cs="Arial"/>
            <w:sz w:val="20"/>
            <w:szCs w:val="20"/>
          </w:rPr>
          <w:t>www.bma.org.uk/gpc</w:t>
        </w:r>
      </w:hyperlink>
      <w:r w:rsidRPr="003F5FC7">
        <w:rPr>
          <w:rFonts w:ascii="Arial" w:hAnsi="Arial" w:cs="Arial"/>
          <w:sz w:val="20"/>
          <w:szCs w:val="20"/>
        </w:rPr>
        <w:t xml:space="preserve">; the information designed to assist colleagues in relation to their practices has been placed in a new section:  </w:t>
      </w:r>
      <w:hyperlink r:id="rId12" w:history="1">
        <w:r w:rsidRPr="003F5FC7">
          <w:rPr>
            <w:rStyle w:val="Hyperlink"/>
            <w:rFonts w:ascii="Arial" w:hAnsi="Arial" w:cs="Arial"/>
            <w:sz w:val="20"/>
            <w:szCs w:val="20"/>
          </w:rPr>
          <w:t>http://www.bma.org.uk/support-at-work/gp-practices</w:t>
        </w:r>
      </w:hyperlink>
      <w:r w:rsidRPr="003F5FC7">
        <w:rPr>
          <w:rFonts w:ascii="Arial" w:hAnsi="Arial" w:cs="Arial"/>
          <w:sz w:val="20"/>
          <w:szCs w:val="20"/>
        </w:rPr>
        <w:t>.   Much of this information is available on the LMC website and the LMC Line highlights both local news, queries about issues received at the LMC office which it is thought may be of general interest to all GPs, and other professional issues as they arise.</w:t>
      </w:r>
    </w:p>
    <w:p w:rsidR="001F412B" w:rsidRDefault="001F412B" w:rsidP="003F5FC7">
      <w:pPr>
        <w:jc w:val="both"/>
        <w:rPr>
          <w:rFonts w:ascii="Arial" w:hAnsi="Arial" w:cs="Arial"/>
          <w:sz w:val="20"/>
          <w:szCs w:val="20"/>
        </w:rPr>
      </w:pPr>
    </w:p>
    <w:p w:rsidR="001F412B" w:rsidRPr="001F412B" w:rsidRDefault="001F412B" w:rsidP="001F412B">
      <w:pPr>
        <w:jc w:val="both"/>
        <w:rPr>
          <w:rFonts w:ascii="Arial" w:hAnsi="Arial" w:cs="Arial"/>
          <w:b/>
          <w:sz w:val="20"/>
          <w:szCs w:val="20"/>
        </w:rPr>
      </w:pPr>
      <w:r w:rsidRPr="001F412B">
        <w:rPr>
          <w:rFonts w:ascii="Arial" w:hAnsi="Arial" w:cs="Arial"/>
          <w:b/>
          <w:sz w:val="20"/>
          <w:szCs w:val="20"/>
        </w:rPr>
        <w:t>ICO visits to General Practices</w:t>
      </w:r>
    </w:p>
    <w:p w:rsidR="001F412B" w:rsidRDefault="001F412B" w:rsidP="001F412B">
      <w:pPr>
        <w:jc w:val="both"/>
        <w:rPr>
          <w:rFonts w:ascii="Arial" w:hAnsi="Arial" w:cs="Arial"/>
          <w:sz w:val="20"/>
          <w:szCs w:val="20"/>
        </w:rPr>
      </w:pPr>
      <w:r w:rsidRPr="001F412B">
        <w:rPr>
          <w:rFonts w:ascii="Arial" w:hAnsi="Arial" w:cs="Arial"/>
          <w:sz w:val="20"/>
          <w:szCs w:val="20"/>
        </w:rPr>
        <w:t>The Information Commissioners Office has been making advisory visits to GP practices over the past year and has compiled a report outlining both good, and less satisfactory, practices identified during those visits.  This is available at:</w:t>
      </w:r>
    </w:p>
    <w:p w:rsidR="006C010D" w:rsidRPr="001F412B" w:rsidRDefault="006C010D"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hyperlink r:id="rId13" w:history="1">
        <w:r w:rsidRPr="00B80C46">
          <w:rPr>
            <w:rStyle w:val="Hyperlink"/>
            <w:rFonts w:ascii="Arial" w:hAnsi="Arial" w:cs="Arial"/>
            <w:sz w:val="20"/>
            <w:szCs w:val="20"/>
          </w:rPr>
          <w:t>http://ico.org.uk/news/latest_news/2014/~/media/documents/library/Data_Protection/Research_and_reports/outcome-report-gp-healthcare.pdf</w:t>
        </w:r>
      </w:hyperlink>
      <w:r>
        <w:rPr>
          <w:rFonts w:ascii="Arial" w:hAnsi="Arial" w:cs="Arial"/>
          <w:sz w:val="20"/>
          <w:szCs w:val="20"/>
        </w:rPr>
        <w:t xml:space="preserve"> </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Areas for improvement noted included:</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w:t>
      </w:r>
      <w:r w:rsidRPr="001F412B">
        <w:rPr>
          <w:rFonts w:ascii="Arial" w:hAnsi="Arial" w:cs="Arial"/>
          <w:sz w:val="20"/>
          <w:szCs w:val="20"/>
        </w:rPr>
        <w:tab/>
        <w:t>Fair processing notices not present where CCTV cameras</w:t>
      </w:r>
    </w:p>
    <w:p w:rsidR="001F412B" w:rsidRPr="001F412B" w:rsidRDefault="001F412B" w:rsidP="001F412B">
      <w:pPr>
        <w:jc w:val="both"/>
        <w:rPr>
          <w:rFonts w:ascii="Arial" w:hAnsi="Arial" w:cs="Arial"/>
          <w:sz w:val="20"/>
          <w:szCs w:val="20"/>
        </w:rPr>
      </w:pPr>
      <w:r w:rsidRPr="001F412B">
        <w:rPr>
          <w:rFonts w:ascii="Arial" w:hAnsi="Arial" w:cs="Arial"/>
          <w:sz w:val="20"/>
          <w:szCs w:val="20"/>
        </w:rPr>
        <w:t>•</w:t>
      </w:r>
      <w:r w:rsidRPr="001F412B">
        <w:rPr>
          <w:rFonts w:ascii="Arial" w:hAnsi="Arial" w:cs="Arial"/>
          <w:sz w:val="20"/>
          <w:szCs w:val="20"/>
        </w:rPr>
        <w:tab/>
        <w:t>Backlogs of confidential waste for shredding</w:t>
      </w:r>
    </w:p>
    <w:p w:rsidR="001F412B" w:rsidRPr="001F412B" w:rsidRDefault="001F412B" w:rsidP="001F412B">
      <w:pPr>
        <w:jc w:val="both"/>
        <w:rPr>
          <w:rFonts w:ascii="Arial" w:hAnsi="Arial" w:cs="Arial"/>
          <w:sz w:val="20"/>
          <w:szCs w:val="20"/>
        </w:rPr>
      </w:pPr>
      <w:r w:rsidRPr="001F412B">
        <w:rPr>
          <w:rFonts w:ascii="Arial" w:hAnsi="Arial" w:cs="Arial"/>
          <w:sz w:val="20"/>
          <w:szCs w:val="20"/>
        </w:rPr>
        <w:t>•</w:t>
      </w:r>
      <w:r w:rsidRPr="001F412B">
        <w:rPr>
          <w:rFonts w:ascii="Arial" w:hAnsi="Arial" w:cs="Arial"/>
          <w:sz w:val="20"/>
          <w:szCs w:val="20"/>
        </w:rPr>
        <w:tab/>
        <w:t>Privacy statements on practice websites required</w:t>
      </w:r>
    </w:p>
    <w:p w:rsidR="001F412B" w:rsidRPr="001F412B" w:rsidRDefault="001F412B" w:rsidP="001F412B">
      <w:pPr>
        <w:jc w:val="both"/>
        <w:rPr>
          <w:rFonts w:ascii="Arial" w:hAnsi="Arial" w:cs="Arial"/>
          <w:sz w:val="20"/>
          <w:szCs w:val="20"/>
        </w:rPr>
      </w:pPr>
      <w:r w:rsidRPr="001F412B">
        <w:rPr>
          <w:rFonts w:ascii="Arial" w:hAnsi="Arial" w:cs="Arial"/>
          <w:sz w:val="20"/>
          <w:szCs w:val="20"/>
        </w:rPr>
        <w:t>•</w:t>
      </w:r>
      <w:r w:rsidRPr="001F412B">
        <w:rPr>
          <w:rFonts w:ascii="Arial" w:hAnsi="Arial" w:cs="Arial"/>
          <w:sz w:val="20"/>
          <w:szCs w:val="20"/>
        </w:rPr>
        <w:tab/>
        <w:t>Lack of internet use policies for staff</w:t>
      </w:r>
    </w:p>
    <w:p w:rsidR="001F412B" w:rsidRDefault="001F412B" w:rsidP="001F412B">
      <w:pPr>
        <w:jc w:val="both"/>
        <w:rPr>
          <w:rFonts w:ascii="Arial" w:hAnsi="Arial" w:cs="Arial"/>
          <w:sz w:val="20"/>
          <w:szCs w:val="20"/>
        </w:rPr>
      </w:pPr>
      <w:r w:rsidRPr="001F412B">
        <w:rPr>
          <w:rFonts w:ascii="Arial" w:hAnsi="Arial" w:cs="Arial"/>
          <w:sz w:val="20"/>
          <w:szCs w:val="20"/>
        </w:rPr>
        <w:t>•</w:t>
      </w:r>
      <w:r w:rsidRPr="001F412B">
        <w:rPr>
          <w:rFonts w:ascii="Arial" w:hAnsi="Arial" w:cs="Arial"/>
          <w:sz w:val="20"/>
          <w:szCs w:val="20"/>
        </w:rPr>
        <w:tab/>
        <w:t>Lack of appropriate storage space for paper records</w:t>
      </w:r>
    </w:p>
    <w:p w:rsid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b/>
          <w:sz w:val="20"/>
          <w:szCs w:val="20"/>
        </w:rPr>
      </w:pPr>
      <w:r w:rsidRPr="001F412B">
        <w:rPr>
          <w:rFonts w:ascii="Arial" w:hAnsi="Arial" w:cs="Arial"/>
          <w:b/>
          <w:sz w:val="20"/>
          <w:szCs w:val="20"/>
        </w:rPr>
        <w:t>CQC Inspections</w:t>
      </w:r>
    </w:p>
    <w:p w:rsidR="001F412B" w:rsidRPr="001F412B" w:rsidRDefault="001F412B" w:rsidP="001F412B">
      <w:pPr>
        <w:jc w:val="both"/>
        <w:rPr>
          <w:rFonts w:ascii="Arial" w:hAnsi="Arial" w:cs="Arial"/>
          <w:sz w:val="20"/>
          <w:szCs w:val="20"/>
        </w:rPr>
      </w:pPr>
      <w:r w:rsidRPr="001F412B">
        <w:rPr>
          <w:rFonts w:ascii="Arial" w:hAnsi="Arial" w:cs="Arial"/>
          <w:sz w:val="20"/>
          <w:szCs w:val="20"/>
        </w:rPr>
        <w:t>The current CQC Inspection regime continues although it is planned to change from April, some follow-up or review Inspections based on ones already conducted will continue to follow the original format.</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At present the CQC Inspection Reports appear quite formulaic and rigidly based on what was identified at one point in time, that is, on the day of the Inspection.  The LMC has provided a significant amount of feedback and is meeting the local Lead Inspector bimonthly.  The new Inspections are likely to include GPs, further details awaited.</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The other current review is of fee levels: the CQC has been mandated to be self-funding (it currently receives approximately £31million from the DH out of a budget of £131 million) and also wishes to achieve a situation in which the cost of the inspection and registration process for each sector is paid for by the funds raised, so there is no cross-subsidy.  It believes this will encourage improvement in each sector; it would like a form of “no-claims discount” structure.  One problem for GPs is that only about 50% of the costs of the registration and inspection of our sector is raised by fees, one of the lowest in all the sectors.</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The CQC would also like to introduce a monthly payment option for the annual registration fee.</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b/>
          <w:sz w:val="20"/>
          <w:szCs w:val="20"/>
        </w:rPr>
      </w:pPr>
      <w:r w:rsidRPr="001F412B">
        <w:rPr>
          <w:rFonts w:ascii="Arial" w:hAnsi="Arial" w:cs="Arial"/>
          <w:b/>
          <w:sz w:val="20"/>
          <w:szCs w:val="20"/>
        </w:rPr>
        <w:t>Appraisals</w:t>
      </w:r>
    </w:p>
    <w:p w:rsidR="001F412B" w:rsidRPr="001F412B" w:rsidRDefault="001F412B" w:rsidP="001F412B">
      <w:pPr>
        <w:jc w:val="both"/>
        <w:rPr>
          <w:rFonts w:ascii="Arial" w:hAnsi="Arial" w:cs="Arial"/>
          <w:sz w:val="20"/>
          <w:szCs w:val="20"/>
        </w:rPr>
      </w:pPr>
      <w:r w:rsidRPr="001F412B">
        <w:rPr>
          <w:rFonts w:ascii="Arial" w:hAnsi="Arial" w:cs="Arial"/>
          <w:sz w:val="20"/>
          <w:szCs w:val="20"/>
        </w:rPr>
        <w:t>The LMC continues to meet regularly with the Surrey and Sussex Area Team and discusses arrangements for appraisal and revalidation.</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There have been some significant concerns about the new, generic, Appraisers Contract, imposed by NHS England.  Obviously the Area Team does not have the discretion to vary this contract or offer a different one, and so most of the concerns have been referred back to a national setting and further information is awaited.</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The Area Team have appointed five Lead Appraisers; these being:</w:t>
      </w:r>
    </w:p>
    <w:p w:rsidR="001F412B" w:rsidRPr="001F412B" w:rsidRDefault="001F412B" w:rsidP="001F412B">
      <w:pPr>
        <w:jc w:val="both"/>
        <w:rPr>
          <w:rFonts w:ascii="Arial" w:hAnsi="Arial" w:cs="Arial"/>
          <w:sz w:val="20"/>
          <w:szCs w:val="20"/>
        </w:rPr>
      </w:pPr>
    </w:p>
    <w:p w:rsidR="001F412B" w:rsidRPr="001F412B" w:rsidRDefault="001F412B" w:rsidP="001F412B">
      <w:pPr>
        <w:tabs>
          <w:tab w:val="left" w:pos="2268"/>
          <w:tab w:val="left" w:pos="5103"/>
        </w:tabs>
        <w:jc w:val="both"/>
        <w:rPr>
          <w:rFonts w:ascii="Arial" w:hAnsi="Arial" w:cs="Arial"/>
          <w:sz w:val="20"/>
          <w:szCs w:val="20"/>
        </w:rPr>
      </w:pPr>
      <w:r w:rsidRPr="001F412B">
        <w:rPr>
          <w:rFonts w:ascii="Arial" w:hAnsi="Arial" w:cs="Arial"/>
          <w:sz w:val="20"/>
          <w:szCs w:val="20"/>
        </w:rPr>
        <w:tab/>
        <w:t xml:space="preserve">Dr Peter O’Donnell </w:t>
      </w:r>
      <w:r w:rsidRPr="001F412B">
        <w:rPr>
          <w:rFonts w:ascii="Arial" w:hAnsi="Arial" w:cs="Arial"/>
          <w:sz w:val="20"/>
          <w:szCs w:val="20"/>
        </w:rPr>
        <w:tab/>
        <w:t>(West Surrey)</w:t>
      </w:r>
    </w:p>
    <w:p w:rsidR="001F412B" w:rsidRPr="001F412B" w:rsidRDefault="001F412B" w:rsidP="001F412B">
      <w:pPr>
        <w:tabs>
          <w:tab w:val="left" w:pos="2268"/>
          <w:tab w:val="left" w:pos="5103"/>
        </w:tabs>
        <w:jc w:val="both"/>
        <w:rPr>
          <w:rFonts w:ascii="Arial" w:hAnsi="Arial" w:cs="Arial"/>
          <w:sz w:val="20"/>
          <w:szCs w:val="20"/>
        </w:rPr>
      </w:pPr>
      <w:r w:rsidRPr="001F412B">
        <w:rPr>
          <w:rFonts w:ascii="Arial" w:hAnsi="Arial" w:cs="Arial"/>
          <w:sz w:val="20"/>
          <w:szCs w:val="20"/>
        </w:rPr>
        <w:tab/>
        <w:t>Dr Howard Bloom</w:t>
      </w:r>
      <w:r w:rsidRPr="001F412B">
        <w:rPr>
          <w:rFonts w:ascii="Arial" w:hAnsi="Arial" w:cs="Arial"/>
          <w:sz w:val="20"/>
          <w:szCs w:val="20"/>
        </w:rPr>
        <w:tab/>
        <w:t>(East Surrey)</w:t>
      </w:r>
    </w:p>
    <w:p w:rsidR="001F412B" w:rsidRPr="001F412B" w:rsidRDefault="001F412B" w:rsidP="001F412B">
      <w:pPr>
        <w:tabs>
          <w:tab w:val="left" w:pos="2268"/>
          <w:tab w:val="left" w:pos="5103"/>
        </w:tabs>
        <w:jc w:val="both"/>
        <w:rPr>
          <w:rFonts w:ascii="Arial" w:hAnsi="Arial" w:cs="Arial"/>
          <w:sz w:val="20"/>
          <w:szCs w:val="20"/>
        </w:rPr>
      </w:pPr>
      <w:r w:rsidRPr="001F412B">
        <w:rPr>
          <w:rFonts w:ascii="Arial" w:hAnsi="Arial" w:cs="Arial"/>
          <w:sz w:val="20"/>
          <w:szCs w:val="20"/>
        </w:rPr>
        <w:tab/>
        <w:t>Dr Barbara Turk</w:t>
      </w:r>
      <w:r w:rsidRPr="001F412B">
        <w:rPr>
          <w:rFonts w:ascii="Arial" w:hAnsi="Arial" w:cs="Arial"/>
          <w:sz w:val="20"/>
          <w:szCs w:val="20"/>
        </w:rPr>
        <w:tab/>
        <w:t>(Brighton &amp; Hove)</w:t>
      </w:r>
    </w:p>
    <w:p w:rsidR="001F412B" w:rsidRPr="001F412B" w:rsidRDefault="001F412B" w:rsidP="001F412B">
      <w:pPr>
        <w:tabs>
          <w:tab w:val="left" w:pos="2268"/>
          <w:tab w:val="left" w:pos="5103"/>
        </w:tabs>
        <w:jc w:val="both"/>
        <w:rPr>
          <w:rFonts w:ascii="Arial" w:hAnsi="Arial" w:cs="Arial"/>
          <w:sz w:val="20"/>
          <w:szCs w:val="20"/>
        </w:rPr>
      </w:pPr>
      <w:r w:rsidRPr="001F412B">
        <w:rPr>
          <w:rFonts w:ascii="Arial" w:hAnsi="Arial" w:cs="Arial"/>
          <w:sz w:val="20"/>
          <w:szCs w:val="20"/>
        </w:rPr>
        <w:tab/>
        <w:t>Dr Lisa Argent</w:t>
      </w:r>
      <w:r w:rsidRPr="001F412B">
        <w:rPr>
          <w:rFonts w:ascii="Arial" w:hAnsi="Arial" w:cs="Arial"/>
          <w:sz w:val="20"/>
          <w:szCs w:val="20"/>
        </w:rPr>
        <w:tab/>
        <w:t>(West Sussex)</w:t>
      </w:r>
    </w:p>
    <w:p w:rsidR="001F412B" w:rsidRPr="001F412B" w:rsidRDefault="001F412B" w:rsidP="001F412B">
      <w:pPr>
        <w:tabs>
          <w:tab w:val="left" w:pos="2268"/>
          <w:tab w:val="left" w:pos="5103"/>
        </w:tabs>
        <w:jc w:val="both"/>
        <w:rPr>
          <w:rFonts w:ascii="Arial" w:hAnsi="Arial" w:cs="Arial"/>
          <w:sz w:val="20"/>
          <w:szCs w:val="20"/>
        </w:rPr>
      </w:pPr>
      <w:r w:rsidRPr="001F412B">
        <w:rPr>
          <w:rFonts w:ascii="Arial" w:hAnsi="Arial" w:cs="Arial"/>
          <w:sz w:val="20"/>
          <w:szCs w:val="20"/>
        </w:rPr>
        <w:tab/>
        <w:t xml:space="preserve">Dr Mike </w:t>
      </w:r>
      <w:proofErr w:type="spellStart"/>
      <w:r w:rsidRPr="001F412B">
        <w:rPr>
          <w:rFonts w:ascii="Arial" w:hAnsi="Arial" w:cs="Arial"/>
          <w:sz w:val="20"/>
          <w:szCs w:val="20"/>
        </w:rPr>
        <w:t>Fraunhofen</w:t>
      </w:r>
      <w:proofErr w:type="spellEnd"/>
      <w:r w:rsidRPr="001F412B">
        <w:rPr>
          <w:rFonts w:ascii="Arial" w:hAnsi="Arial" w:cs="Arial"/>
          <w:sz w:val="20"/>
          <w:szCs w:val="20"/>
        </w:rPr>
        <w:tab/>
        <w:t>(East Sussex)</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There are at present thought to be sufficient appraisers within the Area.</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The RCGP continues to advocate the role of impact in terms of CPD learning credits and is now the only Royal College continuing to do so.  In light of this the Area Teams are reviewing their guidance to Appraises to advise that impact credits should only be a relatively small proportion of the total of 50 required annually.</w:t>
      </w:r>
    </w:p>
    <w:p w:rsidR="001F412B" w:rsidRPr="001F412B" w:rsidRDefault="001F412B" w:rsidP="001F412B">
      <w:pPr>
        <w:jc w:val="both"/>
        <w:rPr>
          <w:rFonts w:ascii="Arial" w:hAnsi="Arial" w:cs="Arial"/>
          <w:sz w:val="20"/>
          <w:szCs w:val="20"/>
        </w:rPr>
      </w:pPr>
    </w:p>
    <w:p w:rsidR="001F412B" w:rsidRPr="001F412B" w:rsidRDefault="001F412B" w:rsidP="001F412B">
      <w:pPr>
        <w:jc w:val="both"/>
        <w:rPr>
          <w:rFonts w:ascii="Arial" w:hAnsi="Arial" w:cs="Arial"/>
          <w:sz w:val="20"/>
          <w:szCs w:val="20"/>
        </w:rPr>
      </w:pPr>
      <w:r w:rsidRPr="001F412B">
        <w:rPr>
          <w:rFonts w:ascii="Arial" w:hAnsi="Arial" w:cs="Arial"/>
          <w:sz w:val="20"/>
          <w:szCs w:val="20"/>
        </w:rPr>
        <w:t xml:space="preserve">By and large feedback to the LMC from Appraised GPs has been positive; the Area Team </w:t>
      </w:r>
      <w:proofErr w:type="gramStart"/>
      <w:r w:rsidRPr="001F412B">
        <w:rPr>
          <w:rFonts w:ascii="Arial" w:hAnsi="Arial" w:cs="Arial"/>
          <w:sz w:val="20"/>
          <w:szCs w:val="20"/>
        </w:rPr>
        <w:t>advise</w:t>
      </w:r>
      <w:proofErr w:type="gramEnd"/>
      <w:r w:rsidRPr="001F412B">
        <w:rPr>
          <w:rFonts w:ascii="Arial" w:hAnsi="Arial" w:cs="Arial"/>
          <w:sz w:val="20"/>
          <w:szCs w:val="20"/>
        </w:rPr>
        <w:t xml:space="preserve"> they have caught up in terms of planning. They have undertaken 301 revalidations, accepted178 </w:t>
      </w:r>
      <w:proofErr w:type="gramStart"/>
      <w:r w:rsidRPr="001F412B">
        <w:rPr>
          <w:rFonts w:ascii="Arial" w:hAnsi="Arial" w:cs="Arial"/>
          <w:sz w:val="20"/>
          <w:szCs w:val="20"/>
        </w:rPr>
        <w:t>deferments,</w:t>
      </w:r>
      <w:proofErr w:type="gramEnd"/>
      <w:r w:rsidRPr="001F412B">
        <w:rPr>
          <w:rFonts w:ascii="Arial" w:hAnsi="Arial" w:cs="Arial"/>
          <w:sz w:val="20"/>
          <w:szCs w:val="20"/>
        </w:rPr>
        <w:t xml:space="preserve"> the great majority made at the GPs request, and only had 3 instances of (initial) non-engagement with the process.</w:t>
      </w:r>
    </w:p>
    <w:p w:rsidR="001F412B" w:rsidRPr="003F5FC7" w:rsidRDefault="001F412B" w:rsidP="001F412B">
      <w:pPr>
        <w:jc w:val="both"/>
        <w:rPr>
          <w:rFonts w:ascii="Arial" w:hAnsi="Arial" w:cs="Arial"/>
          <w:sz w:val="20"/>
          <w:szCs w:val="20"/>
        </w:rPr>
      </w:pPr>
    </w:p>
    <w:p w:rsidR="003F5FC7" w:rsidRPr="003F5FC7" w:rsidRDefault="003F5FC7" w:rsidP="003F5FC7">
      <w:pPr>
        <w:jc w:val="both"/>
        <w:rPr>
          <w:rFonts w:ascii="Arial" w:hAnsi="Arial" w:cs="Arial"/>
          <w:sz w:val="20"/>
          <w:szCs w:val="20"/>
        </w:rPr>
      </w:pPr>
    </w:p>
    <w:p w:rsidR="00742FE9" w:rsidRDefault="00742FE9" w:rsidP="003F5FC7">
      <w:pPr>
        <w:jc w:val="right"/>
        <w:rPr>
          <w:rFonts w:ascii="Arial" w:hAnsi="Arial" w:cs="Arial"/>
          <w:sz w:val="20"/>
          <w:szCs w:val="20"/>
        </w:rPr>
      </w:pPr>
    </w:p>
    <w:p w:rsidR="00742FE9" w:rsidRDefault="00742FE9" w:rsidP="003F5FC7">
      <w:pPr>
        <w:jc w:val="right"/>
        <w:rPr>
          <w:rFonts w:ascii="Arial" w:hAnsi="Arial" w:cs="Arial"/>
          <w:sz w:val="20"/>
          <w:szCs w:val="20"/>
        </w:rPr>
      </w:pPr>
    </w:p>
    <w:p w:rsidR="00742FE9" w:rsidRDefault="00742FE9" w:rsidP="003F5FC7">
      <w:pPr>
        <w:jc w:val="right"/>
        <w:rPr>
          <w:rFonts w:ascii="Arial" w:hAnsi="Arial" w:cs="Arial"/>
          <w:sz w:val="20"/>
          <w:szCs w:val="20"/>
        </w:rPr>
      </w:pPr>
    </w:p>
    <w:p w:rsidR="00742FE9" w:rsidRDefault="00742FE9" w:rsidP="003F5FC7">
      <w:pPr>
        <w:jc w:val="right"/>
        <w:rPr>
          <w:rFonts w:ascii="Arial" w:hAnsi="Arial" w:cs="Arial"/>
          <w:sz w:val="20"/>
          <w:szCs w:val="20"/>
        </w:rPr>
      </w:pPr>
    </w:p>
    <w:p w:rsidR="00742FE9" w:rsidRDefault="00742FE9" w:rsidP="003F5FC7">
      <w:pPr>
        <w:jc w:val="right"/>
        <w:rPr>
          <w:rFonts w:ascii="Arial" w:hAnsi="Arial" w:cs="Arial"/>
          <w:sz w:val="20"/>
          <w:szCs w:val="20"/>
        </w:rPr>
      </w:pPr>
    </w:p>
    <w:p w:rsidR="003F5FC7" w:rsidRPr="003F5FC7" w:rsidRDefault="003F5FC7" w:rsidP="003F5FC7">
      <w:pPr>
        <w:jc w:val="right"/>
        <w:rPr>
          <w:rFonts w:ascii="Arial" w:hAnsi="Arial" w:cs="Arial"/>
          <w:sz w:val="20"/>
          <w:szCs w:val="20"/>
        </w:rPr>
      </w:pPr>
      <w:r w:rsidRPr="003F5FC7">
        <w:rPr>
          <w:rFonts w:ascii="Arial" w:hAnsi="Arial" w:cs="Arial"/>
          <w:sz w:val="20"/>
          <w:szCs w:val="20"/>
        </w:rPr>
        <w:t>Dr Julius Parker</w:t>
      </w:r>
    </w:p>
    <w:p w:rsidR="003F5FC7" w:rsidRPr="00742FE9" w:rsidRDefault="003F5FC7" w:rsidP="003F5FC7">
      <w:pPr>
        <w:jc w:val="right"/>
        <w:rPr>
          <w:rFonts w:ascii="Arial" w:hAnsi="Arial" w:cs="Arial"/>
          <w:sz w:val="20"/>
          <w:szCs w:val="20"/>
        </w:rPr>
      </w:pPr>
      <w:r w:rsidRPr="00742FE9">
        <w:rPr>
          <w:rFonts w:ascii="Arial" w:hAnsi="Arial" w:cs="Arial"/>
          <w:sz w:val="20"/>
          <w:szCs w:val="20"/>
        </w:rPr>
        <w:t>Chief Executive</w:t>
      </w:r>
    </w:p>
    <w:sectPr w:rsidR="003F5FC7" w:rsidRPr="00742FE9" w:rsidSect="00D2136E">
      <w:footerReference w:type="even" r:id="rId14"/>
      <w:footerReference w:type="default" r:id="rId15"/>
      <w:footerReference w:type="first" r:id="rId16"/>
      <w:pgSz w:w="12240" w:h="15840" w:code="1"/>
      <w:pgMar w:top="567" w:right="1134"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FB" w:rsidRDefault="00270BFB">
      <w:r>
        <w:separator/>
      </w:r>
    </w:p>
  </w:endnote>
  <w:endnote w:type="continuationSeparator" w:id="0">
    <w:p w:rsidR="00270BFB" w:rsidRDefault="002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Arial"/>
    <w:panose1 w:val="00000000000000000000"/>
    <w:charset w:val="00"/>
    <w:family w:val="moder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HITVYR+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Century Gothic"/>
    <w:charset w:val="00"/>
    <w:family w:val="swiss"/>
    <w:pitch w:val="variable"/>
    <w:sig w:usb0="00000001" w:usb1="00000000" w:usb2="00000000" w:usb3="00000000" w:csb0="00000003" w:csb1="00000000"/>
  </w:font>
  <w:font w:name="Gill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rsidP="00F13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A39" w:rsidRDefault="0072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Pr="0024340F" w:rsidRDefault="00727A39" w:rsidP="00F136D0">
    <w:pPr>
      <w:pStyle w:val="Footer"/>
      <w:framePr w:wrap="around" w:vAnchor="text" w:hAnchor="margin" w:xAlign="center" w:y="1"/>
      <w:rPr>
        <w:rStyle w:val="PageNumber"/>
        <w:rFonts w:ascii="Arial" w:hAnsi="Arial" w:cs="Arial"/>
        <w:sz w:val="18"/>
        <w:szCs w:val="18"/>
      </w:rPr>
    </w:pPr>
    <w:r w:rsidRPr="0024340F">
      <w:rPr>
        <w:rStyle w:val="PageNumber"/>
        <w:rFonts w:ascii="Arial" w:hAnsi="Arial" w:cs="Arial"/>
        <w:sz w:val="18"/>
        <w:szCs w:val="18"/>
      </w:rPr>
      <w:fldChar w:fldCharType="begin"/>
    </w:r>
    <w:r w:rsidRPr="0024340F">
      <w:rPr>
        <w:rStyle w:val="PageNumber"/>
        <w:rFonts w:ascii="Arial" w:hAnsi="Arial" w:cs="Arial"/>
        <w:sz w:val="18"/>
        <w:szCs w:val="18"/>
      </w:rPr>
      <w:instrText xml:space="preserve">PAGE  </w:instrText>
    </w:r>
    <w:r w:rsidRPr="0024340F">
      <w:rPr>
        <w:rStyle w:val="PageNumber"/>
        <w:rFonts w:ascii="Arial" w:hAnsi="Arial" w:cs="Arial"/>
        <w:sz w:val="18"/>
        <w:szCs w:val="18"/>
      </w:rPr>
      <w:fldChar w:fldCharType="separate"/>
    </w:r>
    <w:r w:rsidR="00742FE9">
      <w:rPr>
        <w:rStyle w:val="PageNumber"/>
        <w:rFonts w:ascii="Arial" w:hAnsi="Arial" w:cs="Arial"/>
        <w:noProof/>
        <w:sz w:val="18"/>
        <w:szCs w:val="18"/>
      </w:rPr>
      <w:t>3</w:t>
    </w:r>
    <w:r w:rsidRPr="0024340F">
      <w:rPr>
        <w:rStyle w:val="PageNumber"/>
        <w:rFonts w:ascii="Arial" w:hAnsi="Arial" w:cs="Arial"/>
        <w:sz w:val="18"/>
        <w:szCs w:val="18"/>
      </w:rPr>
      <w:fldChar w:fldCharType="end"/>
    </w:r>
  </w:p>
  <w:p w:rsidR="00727A39" w:rsidRDefault="00727A39">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FB" w:rsidRDefault="00270BFB">
      <w:r>
        <w:separator/>
      </w:r>
    </w:p>
  </w:footnote>
  <w:footnote w:type="continuationSeparator" w:id="0">
    <w:p w:rsidR="00270BFB" w:rsidRDefault="0027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265"/>
    <w:multiLevelType w:val="multilevel"/>
    <w:tmpl w:val="FA18F2C8"/>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1">
    <w:nsid w:val="05E55743"/>
    <w:multiLevelType w:val="hybridMultilevel"/>
    <w:tmpl w:val="F6A483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76054"/>
    <w:multiLevelType w:val="multilevel"/>
    <w:tmpl w:val="7EFC2B6C"/>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3">
    <w:nsid w:val="20562DA4"/>
    <w:multiLevelType w:val="multilevel"/>
    <w:tmpl w:val="5706E274"/>
    <w:styleLink w:val="List1"/>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4">
    <w:nsid w:val="22BA7D9C"/>
    <w:multiLevelType w:val="multilevel"/>
    <w:tmpl w:val="5458066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33B4DDA"/>
    <w:multiLevelType w:val="multilevel"/>
    <w:tmpl w:val="D34A58C6"/>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2D5C65EA"/>
    <w:multiLevelType w:val="hybridMultilevel"/>
    <w:tmpl w:val="351E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C720F"/>
    <w:multiLevelType w:val="multilevel"/>
    <w:tmpl w:val="07D837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41545E7"/>
    <w:multiLevelType w:val="multilevel"/>
    <w:tmpl w:val="E0C4755E"/>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9">
    <w:nsid w:val="39344A40"/>
    <w:multiLevelType w:val="multilevel"/>
    <w:tmpl w:val="8ABA8E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nsid w:val="40F94884"/>
    <w:multiLevelType w:val="multilevel"/>
    <w:tmpl w:val="563226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nsid w:val="56D0337D"/>
    <w:multiLevelType w:val="multilevel"/>
    <w:tmpl w:val="142C44D2"/>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abstractNum w:abstractNumId="12">
    <w:nsid w:val="56F41A67"/>
    <w:multiLevelType w:val="multilevel"/>
    <w:tmpl w:val="120004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E2876FF"/>
    <w:multiLevelType w:val="multilevel"/>
    <w:tmpl w:val="D1B81B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62C559A1"/>
    <w:multiLevelType w:val="multilevel"/>
    <w:tmpl w:val="6D70D5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7142C1D"/>
    <w:multiLevelType w:val="multilevel"/>
    <w:tmpl w:val="FC109B2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nsid w:val="6D757A92"/>
    <w:multiLevelType w:val="multilevel"/>
    <w:tmpl w:val="FABA447C"/>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nsid w:val="71260C65"/>
    <w:multiLevelType w:val="hybridMultilevel"/>
    <w:tmpl w:val="50BA5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B03B28"/>
    <w:multiLevelType w:val="multilevel"/>
    <w:tmpl w:val="363ACF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759944D9"/>
    <w:multiLevelType w:val="multilevel"/>
    <w:tmpl w:val="134A3A3A"/>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0">
    <w:nsid w:val="7D630309"/>
    <w:multiLevelType w:val="multilevel"/>
    <w:tmpl w:val="46C08502"/>
    <w:styleLink w:val="List21"/>
    <w:lvl w:ilvl="0">
      <w:numFmt w:val="bullet"/>
      <w:lvlText w:val="•"/>
      <w:lvlJc w:val="left"/>
      <w:rPr>
        <w:color w:val="2F2F2F"/>
        <w:position w:val="0"/>
        <w:u w:color="2F2F2F"/>
      </w:rPr>
    </w:lvl>
    <w:lvl w:ilvl="1">
      <w:start w:val="1"/>
      <w:numFmt w:val="bullet"/>
      <w:lvlText w:val="o"/>
      <w:lvlJc w:val="left"/>
      <w:rPr>
        <w:color w:val="2F2F2F"/>
        <w:position w:val="0"/>
        <w:u w:color="2F2F2F"/>
      </w:rPr>
    </w:lvl>
    <w:lvl w:ilvl="2">
      <w:start w:val="1"/>
      <w:numFmt w:val="bullet"/>
      <w:lvlText w:val="▪"/>
      <w:lvlJc w:val="left"/>
      <w:rPr>
        <w:color w:val="2F2F2F"/>
        <w:position w:val="0"/>
        <w:u w:color="2F2F2F"/>
      </w:rPr>
    </w:lvl>
    <w:lvl w:ilvl="3">
      <w:start w:val="1"/>
      <w:numFmt w:val="bullet"/>
      <w:lvlText w:val="•"/>
      <w:lvlJc w:val="left"/>
      <w:rPr>
        <w:color w:val="2F2F2F"/>
        <w:position w:val="0"/>
        <w:u w:color="2F2F2F"/>
      </w:rPr>
    </w:lvl>
    <w:lvl w:ilvl="4">
      <w:start w:val="1"/>
      <w:numFmt w:val="bullet"/>
      <w:lvlText w:val="o"/>
      <w:lvlJc w:val="left"/>
      <w:rPr>
        <w:color w:val="2F2F2F"/>
        <w:position w:val="0"/>
        <w:u w:color="2F2F2F"/>
      </w:rPr>
    </w:lvl>
    <w:lvl w:ilvl="5">
      <w:start w:val="1"/>
      <w:numFmt w:val="bullet"/>
      <w:lvlText w:val="▪"/>
      <w:lvlJc w:val="left"/>
      <w:rPr>
        <w:color w:val="2F2F2F"/>
        <w:position w:val="0"/>
        <w:u w:color="2F2F2F"/>
      </w:rPr>
    </w:lvl>
    <w:lvl w:ilvl="6">
      <w:start w:val="1"/>
      <w:numFmt w:val="bullet"/>
      <w:lvlText w:val="•"/>
      <w:lvlJc w:val="left"/>
      <w:rPr>
        <w:color w:val="2F2F2F"/>
        <w:position w:val="0"/>
        <w:u w:color="2F2F2F"/>
      </w:rPr>
    </w:lvl>
    <w:lvl w:ilvl="7">
      <w:start w:val="1"/>
      <w:numFmt w:val="bullet"/>
      <w:lvlText w:val="o"/>
      <w:lvlJc w:val="left"/>
      <w:rPr>
        <w:color w:val="2F2F2F"/>
        <w:position w:val="0"/>
        <w:u w:color="2F2F2F"/>
      </w:rPr>
    </w:lvl>
    <w:lvl w:ilvl="8">
      <w:start w:val="1"/>
      <w:numFmt w:val="bullet"/>
      <w:lvlText w:val="▪"/>
      <w:lvlJc w:val="left"/>
      <w:rPr>
        <w:color w:val="2F2F2F"/>
        <w:position w:val="0"/>
        <w:u w:color="2F2F2F"/>
      </w:rPr>
    </w:lvl>
  </w:abstractNum>
  <w:num w:numId="1">
    <w:abstractNumId w:val="6"/>
  </w:num>
  <w:num w:numId="2">
    <w:abstractNumId w:val="16"/>
  </w:num>
  <w:num w:numId="3">
    <w:abstractNumId w:val="15"/>
  </w:num>
  <w:num w:numId="4">
    <w:abstractNumId w:val="5"/>
  </w:num>
  <w:num w:numId="5">
    <w:abstractNumId w:val="8"/>
  </w:num>
  <w:num w:numId="6">
    <w:abstractNumId w:val="0"/>
  </w:num>
  <w:num w:numId="7">
    <w:abstractNumId w:val="11"/>
  </w:num>
  <w:num w:numId="8">
    <w:abstractNumId w:val="20"/>
  </w:num>
  <w:num w:numId="9">
    <w:abstractNumId w:val="2"/>
  </w:num>
  <w:num w:numId="10">
    <w:abstractNumId w:val="3"/>
  </w:num>
  <w:num w:numId="11">
    <w:abstractNumId w:val="12"/>
  </w:num>
  <w:num w:numId="12">
    <w:abstractNumId w:val="14"/>
  </w:num>
  <w:num w:numId="13">
    <w:abstractNumId w:val="18"/>
  </w:num>
  <w:num w:numId="14">
    <w:abstractNumId w:val="7"/>
  </w:num>
  <w:num w:numId="15">
    <w:abstractNumId w:val="13"/>
  </w:num>
  <w:num w:numId="16">
    <w:abstractNumId w:val="4"/>
  </w:num>
  <w:num w:numId="17">
    <w:abstractNumId w:val="9"/>
  </w:num>
  <w:num w:numId="18">
    <w:abstractNumId w:val="10"/>
  </w:num>
  <w:num w:numId="19">
    <w:abstractNumId w:val="19"/>
  </w:num>
  <w:num w:numId="20">
    <w:abstractNumId w:val="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5A"/>
    <w:rsid w:val="000015CA"/>
    <w:rsid w:val="0000229B"/>
    <w:rsid w:val="00012020"/>
    <w:rsid w:val="00014B11"/>
    <w:rsid w:val="00022480"/>
    <w:rsid w:val="000266CE"/>
    <w:rsid w:val="00030A42"/>
    <w:rsid w:val="00033CF3"/>
    <w:rsid w:val="00036575"/>
    <w:rsid w:val="000416D4"/>
    <w:rsid w:val="00042AD1"/>
    <w:rsid w:val="0005399B"/>
    <w:rsid w:val="000548BC"/>
    <w:rsid w:val="000558CC"/>
    <w:rsid w:val="00064069"/>
    <w:rsid w:val="000678DD"/>
    <w:rsid w:val="000738CF"/>
    <w:rsid w:val="0007593B"/>
    <w:rsid w:val="00085109"/>
    <w:rsid w:val="00085871"/>
    <w:rsid w:val="00086ACB"/>
    <w:rsid w:val="000B110B"/>
    <w:rsid w:val="000B1570"/>
    <w:rsid w:val="000B25E8"/>
    <w:rsid w:val="000B4659"/>
    <w:rsid w:val="000D469E"/>
    <w:rsid w:val="000E5CD2"/>
    <w:rsid w:val="000E7DBD"/>
    <w:rsid w:val="000F32BD"/>
    <w:rsid w:val="000F56B5"/>
    <w:rsid w:val="000F6298"/>
    <w:rsid w:val="00103150"/>
    <w:rsid w:val="00103A6C"/>
    <w:rsid w:val="00104D1F"/>
    <w:rsid w:val="001130F2"/>
    <w:rsid w:val="00114574"/>
    <w:rsid w:val="00116680"/>
    <w:rsid w:val="00124567"/>
    <w:rsid w:val="00126393"/>
    <w:rsid w:val="001324FD"/>
    <w:rsid w:val="001329F6"/>
    <w:rsid w:val="001609A5"/>
    <w:rsid w:val="00161F02"/>
    <w:rsid w:val="001678E8"/>
    <w:rsid w:val="0017078B"/>
    <w:rsid w:val="00173288"/>
    <w:rsid w:val="00173470"/>
    <w:rsid w:val="001739F1"/>
    <w:rsid w:val="00180D06"/>
    <w:rsid w:val="001820CB"/>
    <w:rsid w:val="0019031F"/>
    <w:rsid w:val="001A4BEC"/>
    <w:rsid w:val="001B0440"/>
    <w:rsid w:val="001B1E67"/>
    <w:rsid w:val="001B7C61"/>
    <w:rsid w:val="001C4C64"/>
    <w:rsid w:val="001D08E6"/>
    <w:rsid w:val="001D2ADD"/>
    <w:rsid w:val="001D5808"/>
    <w:rsid w:val="001E324E"/>
    <w:rsid w:val="001E661B"/>
    <w:rsid w:val="001F0F0A"/>
    <w:rsid w:val="001F289A"/>
    <w:rsid w:val="001F412B"/>
    <w:rsid w:val="001F6F86"/>
    <w:rsid w:val="00200BAA"/>
    <w:rsid w:val="00200F82"/>
    <w:rsid w:val="00201332"/>
    <w:rsid w:val="00210978"/>
    <w:rsid w:val="002120E4"/>
    <w:rsid w:val="002177A8"/>
    <w:rsid w:val="00221366"/>
    <w:rsid w:val="00224C3F"/>
    <w:rsid w:val="00231846"/>
    <w:rsid w:val="00240A5A"/>
    <w:rsid w:val="00241D3B"/>
    <w:rsid w:val="00242A6C"/>
    <w:rsid w:val="0024340F"/>
    <w:rsid w:val="00243CB5"/>
    <w:rsid w:val="002479E5"/>
    <w:rsid w:val="00257507"/>
    <w:rsid w:val="0026184A"/>
    <w:rsid w:val="00261B9A"/>
    <w:rsid w:val="002650A7"/>
    <w:rsid w:val="00265FC0"/>
    <w:rsid w:val="00270BFB"/>
    <w:rsid w:val="00273A4D"/>
    <w:rsid w:val="00274B16"/>
    <w:rsid w:val="00275426"/>
    <w:rsid w:val="00276E85"/>
    <w:rsid w:val="00282CD5"/>
    <w:rsid w:val="00286E09"/>
    <w:rsid w:val="00291CAD"/>
    <w:rsid w:val="00297357"/>
    <w:rsid w:val="0029767F"/>
    <w:rsid w:val="002A14A0"/>
    <w:rsid w:val="002A1884"/>
    <w:rsid w:val="002A5FC9"/>
    <w:rsid w:val="002B1384"/>
    <w:rsid w:val="002B327D"/>
    <w:rsid w:val="002B35B8"/>
    <w:rsid w:val="002B5409"/>
    <w:rsid w:val="002C13C2"/>
    <w:rsid w:val="002C4433"/>
    <w:rsid w:val="002D04A6"/>
    <w:rsid w:val="002E542C"/>
    <w:rsid w:val="002F1004"/>
    <w:rsid w:val="00300EA2"/>
    <w:rsid w:val="003113CD"/>
    <w:rsid w:val="00311A24"/>
    <w:rsid w:val="003134A8"/>
    <w:rsid w:val="00320708"/>
    <w:rsid w:val="003231FA"/>
    <w:rsid w:val="00330FE0"/>
    <w:rsid w:val="00333C0B"/>
    <w:rsid w:val="003416B2"/>
    <w:rsid w:val="00355B2B"/>
    <w:rsid w:val="0036698C"/>
    <w:rsid w:val="00366AB3"/>
    <w:rsid w:val="003710B7"/>
    <w:rsid w:val="003723E4"/>
    <w:rsid w:val="00374DCB"/>
    <w:rsid w:val="00396B7F"/>
    <w:rsid w:val="003974AA"/>
    <w:rsid w:val="003C5359"/>
    <w:rsid w:val="003E118B"/>
    <w:rsid w:val="003F067A"/>
    <w:rsid w:val="003F5FC7"/>
    <w:rsid w:val="003F763B"/>
    <w:rsid w:val="00400FC2"/>
    <w:rsid w:val="00405367"/>
    <w:rsid w:val="0041318E"/>
    <w:rsid w:val="004134A1"/>
    <w:rsid w:val="004141CC"/>
    <w:rsid w:val="00424152"/>
    <w:rsid w:val="00424398"/>
    <w:rsid w:val="00426778"/>
    <w:rsid w:val="00437C13"/>
    <w:rsid w:val="00445467"/>
    <w:rsid w:val="0044565B"/>
    <w:rsid w:val="00446B3A"/>
    <w:rsid w:val="00461DFC"/>
    <w:rsid w:val="004628DE"/>
    <w:rsid w:val="00470EEF"/>
    <w:rsid w:val="004720DE"/>
    <w:rsid w:val="004727F4"/>
    <w:rsid w:val="004749E7"/>
    <w:rsid w:val="00476E3F"/>
    <w:rsid w:val="00483750"/>
    <w:rsid w:val="00483FA1"/>
    <w:rsid w:val="0049335A"/>
    <w:rsid w:val="00497328"/>
    <w:rsid w:val="004A2A95"/>
    <w:rsid w:val="004A7039"/>
    <w:rsid w:val="004B30D5"/>
    <w:rsid w:val="004B3110"/>
    <w:rsid w:val="004B68CA"/>
    <w:rsid w:val="004C6C57"/>
    <w:rsid w:val="004C78CC"/>
    <w:rsid w:val="004D5CAF"/>
    <w:rsid w:val="004E02BB"/>
    <w:rsid w:val="004E7A0D"/>
    <w:rsid w:val="004F0061"/>
    <w:rsid w:val="004F109E"/>
    <w:rsid w:val="004F1670"/>
    <w:rsid w:val="004F332B"/>
    <w:rsid w:val="004F5357"/>
    <w:rsid w:val="00502000"/>
    <w:rsid w:val="00506043"/>
    <w:rsid w:val="00506484"/>
    <w:rsid w:val="00507C26"/>
    <w:rsid w:val="00513E09"/>
    <w:rsid w:val="00525967"/>
    <w:rsid w:val="005348AC"/>
    <w:rsid w:val="0053663D"/>
    <w:rsid w:val="005370C9"/>
    <w:rsid w:val="005372A9"/>
    <w:rsid w:val="00542D6C"/>
    <w:rsid w:val="00564694"/>
    <w:rsid w:val="005744C2"/>
    <w:rsid w:val="00574D92"/>
    <w:rsid w:val="00583C8F"/>
    <w:rsid w:val="005915A7"/>
    <w:rsid w:val="00595F0B"/>
    <w:rsid w:val="005963EA"/>
    <w:rsid w:val="005A1068"/>
    <w:rsid w:val="005A29F5"/>
    <w:rsid w:val="005B1876"/>
    <w:rsid w:val="005B2FE8"/>
    <w:rsid w:val="005C4F17"/>
    <w:rsid w:val="005C62E8"/>
    <w:rsid w:val="005C74BB"/>
    <w:rsid w:val="005E01F6"/>
    <w:rsid w:val="005E0CD6"/>
    <w:rsid w:val="005F44E3"/>
    <w:rsid w:val="005F5981"/>
    <w:rsid w:val="006000E8"/>
    <w:rsid w:val="00605B0A"/>
    <w:rsid w:val="0060710A"/>
    <w:rsid w:val="00612435"/>
    <w:rsid w:val="00622514"/>
    <w:rsid w:val="00634DAF"/>
    <w:rsid w:val="0063599F"/>
    <w:rsid w:val="00636953"/>
    <w:rsid w:val="00637D7B"/>
    <w:rsid w:val="00642E91"/>
    <w:rsid w:val="006445C0"/>
    <w:rsid w:val="006507A2"/>
    <w:rsid w:val="00651D8A"/>
    <w:rsid w:val="00653D69"/>
    <w:rsid w:val="00655BE5"/>
    <w:rsid w:val="00656C49"/>
    <w:rsid w:val="00657364"/>
    <w:rsid w:val="006640F5"/>
    <w:rsid w:val="00666163"/>
    <w:rsid w:val="00673A9A"/>
    <w:rsid w:val="0068226A"/>
    <w:rsid w:val="00683BDE"/>
    <w:rsid w:val="00684B38"/>
    <w:rsid w:val="00685637"/>
    <w:rsid w:val="00687B6D"/>
    <w:rsid w:val="00691593"/>
    <w:rsid w:val="00691F89"/>
    <w:rsid w:val="006963F1"/>
    <w:rsid w:val="006A2D5C"/>
    <w:rsid w:val="006C010D"/>
    <w:rsid w:val="006C0AD4"/>
    <w:rsid w:val="006C492D"/>
    <w:rsid w:val="006C4962"/>
    <w:rsid w:val="006D00CC"/>
    <w:rsid w:val="006D2F26"/>
    <w:rsid w:val="006D3B88"/>
    <w:rsid w:val="006D62A7"/>
    <w:rsid w:val="006D7E48"/>
    <w:rsid w:val="006E2768"/>
    <w:rsid w:val="006E331C"/>
    <w:rsid w:val="006E605B"/>
    <w:rsid w:val="006F06DC"/>
    <w:rsid w:val="0070589B"/>
    <w:rsid w:val="00716EAB"/>
    <w:rsid w:val="00721428"/>
    <w:rsid w:val="00724DCA"/>
    <w:rsid w:val="00725A6C"/>
    <w:rsid w:val="00727204"/>
    <w:rsid w:val="00727A39"/>
    <w:rsid w:val="00742FE9"/>
    <w:rsid w:val="00744E61"/>
    <w:rsid w:val="007534BC"/>
    <w:rsid w:val="0075358F"/>
    <w:rsid w:val="00762FF9"/>
    <w:rsid w:val="00772259"/>
    <w:rsid w:val="00776D17"/>
    <w:rsid w:val="00780226"/>
    <w:rsid w:val="00781D49"/>
    <w:rsid w:val="00782686"/>
    <w:rsid w:val="007834C4"/>
    <w:rsid w:val="00784E91"/>
    <w:rsid w:val="00785936"/>
    <w:rsid w:val="0078714D"/>
    <w:rsid w:val="00791858"/>
    <w:rsid w:val="00795F05"/>
    <w:rsid w:val="0079622B"/>
    <w:rsid w:val="007967AD"/>
    <w:rsid w:val="007A145A"/>
    <w:rsid w:val="007A63E6"/>
    <w:rsid w:val="007B023F"/>
    <w:rsid w:val="007B1932"/>
    <w:rsid w:val="007B4C61"/>
    <w:rsid w:val="007D0241"/>
    <w:rsid w:val="007D0AD8"/>
    <w:rsid w:val="007D152E"/>
    <w:rsid w:val="007D3670"/>
    <w:rsid w:val="007D72DE"/>
    <w:rsid w:val="007E325F"/>
    <w:rsid w:val="007E7C97"/>
    <w:rsid w:val="007F27F2"/>
    <w:rsid w:val="007F321B"/>
    <w:rsid w:val="007F5AEC"/>
    <w:rsid w:val="0081668D"/>
    <w:rsid w:val="00822302"/>
    <w:rsid w:val="00822BD2"/>
    <w:rsid w:val="00830AEA"/>
    <w:rsid w:val="00835C6A"/>
    <w:rsid w:val="00836871"/>
    <w:rsid w:val="00843036"/>
    <w:rsid w:val="008456AB"/>
    <w:rsid w:val="00851173"/>
    <w:rsid w:val="00851588"/>
    <w:rsid w:val="008521B7"/>
    <w:rsid w:val="008534C4"/>
    <w:rsid w:val="00867D84"/>
    <w:rsid w:val="00867F46"/>
    <w:rsid w:val="00871E85"/>
    <w:rsid w:val="00872F6F"/>
    <w:rsid w:val="008748B1"/>
    <w:rsid w:val="00875E6F"/>
    <w:rsid w:val="00877CA4"/>
    <w:rsid w:val="00877DAD"/>
    <w:rsid w:val="00891D9B"/>
    <w:rsid w:val="008A169D"/>
    <w:rsid w:val="008A5562"/>
    <w:rsid w:val="008B1B19"/>
    <w:rsid w:val="008B4BA4"/>
    <w:rsid w:val="008C4983"/>
    <w:rsid w:val="008C7259"/>
    <w:rsid w:val="008D2627"/>
    <w:rsid w:val="008D3107"/>
    <w:rsid w:val="008F0133"/>
    <w:rsid w:val="0090184B"/>
    <w:rsid w:val="00913022"/>
    <w:rsid w:val="009219FE"/>
    <w:rsid w:val="0092511E"/>
    <w:rsid w:val="00926118"/>
    <w:rsid w:val="009474D0"/>
    <w:rsid w:val="00955BFB"/>
    <w:rsid w:val="00961A94"/>
    <w:rsid w:val="0096294E"/>
    <w:rsid w:val="00964306"/>
    <w:rsid w:val="00971F1F"/>
    <w:rsid w:val="0097260D"/>
    <w:rsid w:val="0097623B"/>
    <w:rsid w:val="009859DF"/>
    <w:rsid w:val="00986498"/>
    <w:rsid w:val="00987331"/>
    <w:rsid w:val="00992027"/>
    <w:rsid w:val="00992CB1"/>
    <w:rsid w:val="00996F3B"/>
    <w:rsid w:val="009A3D88"/>
    <w:rsid w:val="009A5393"/>
    <w:rsid w:val="009A594F"/>
    <w:rsid w:val="009B32D5"/>
    <w:rsid w:val="009C1862"/>
    <w:rsid w:val="009E0B85"/>
    <w:rsid w:val="009E29E0"/>
    <w:rsid w:val="009E4889"/>
    <w:rsid w:val="009F32BD"/>
    <w:rsid w:val="00A02B5C"/>
    <w:rsid w:val="00A04C6D"/>
    <w:rsid w:val="00A13C84"/>
    <w:rsid w:val="00A155DC"/>
    <w:rsid w:val="00A20784"/>
    <w:rsid w:val="00A30685"/>
    <w:rsid w:val="00A330CA"/>
    <w:rsid w:val="00A3488E"/>
    <w:rsid w:val="00A44DD9"/>
    <w:rsid w:val="00A50F58"/>
    <w:rsid w:val="00A52F87"/>
    <w:rsid w:val="00A53247"/>
    <w:rsid w:val="00A555BB"/>
    <w:rsid w:val="00A55740"/>
    <w:rsid w:val="00A574E4"/>
    <w:rsid w:val="00A66E0F"/>
    <w:rsid w:val="00A7387F"/>
    <w:rsid w:val="00A83E61"/>
    <w:rsid w:val="00A936F8"/>
    <w:rsid w:val="00A95748"/>
    <w:rsid w:val="00A97D44"/>
    <w:rsid w:val="00AA5455"/>
    <w:rsid w:val="00AB05A2"/>
    <w:rsid w:val="00AC53D3"/>
    <w:rsid w:val="00AC7E5A"/>
    <w:rsid w:val="00AD486A"/>
    <w:rsid w:val="00AD6828"/>
    <w:rsid w:val="00AD7A74"/>
    <w:rsid w:val="00AD7D40"/>
    <w:rsid w:val="00AE312F"/>
    <w:rsid w:val="00AE5AAF"/>
    <w:rsid w:val="00AE740C"/>
    <w:rsid w:val="00AF083D"/>
    <w:rsid w:val="00AF13BD"/>
    <w:rsid w:val="00B00590"/>
    <w:rsid w:val="00B10B99"/>
    <w:rsid w:val="00B1188F"/>
    <w:rsid w:val="00B179FE"/>
    <w:rsid w:val="00B21D0E"/>
    <w:rsid w:val="00B22E17"/>
    <w:rsid w:val="00B23ED0"/>
    <w:rsid w:val="00B250D1"/>
    <w:rsid w:val="00B2723C"/>
    <w:rsid w:val="00B301DE"/>
    <w:rsid w:val="00B359F8"/>
    <w:rsid w:val="00B36E0C"/>
    <w:rsid w:val="00B37465"/>
    <w:rsid w:val="00B41B3C"/>
    <w:rsid w:val="00B41F14"/>
    <w:rsid w:val="00B42C4B"/>
    <w:rsid w:val="00B45411"/>
    <w:rsid w:val="00B47EAC"/>
    <w:rsid w:val="00B50E6C"/>
    <w:rsid w:val="00B60A0F"/>
    <w:rsid w:val="00B60AC5"/>
    <w:rsid w:val="00B66673"/>
    <w:rsid w:val="00B749B2"/>
    <w:rsid w:val="00B75D26"/>
    <w:rsid w:val="00B76C79"/>
    <w:rsid w:val="00B826BA"/>
    <w:rsid w:val="00B83465"/>
    <w:rsid w:val="00B9553E"/>
    <w:rsid w:val="00B968FB"/>
    <w:rsid w:val="00BA3377"/>
    <w:rsid w:val="00BB4FC4"/>
    <w:rsid w:val="00BB5E3B"/>
    <w:rsid w:val="00BD3553"/>
    <w:rsid w:val="00BD35EB"/>
    <w:rsid w:val="00BD448F"/>
    <w:rsid w:val="00BD5E14"/>
    <w:rsid w:val="00BD68E0"/>
    <w:rsid w:val="00BE3C46"/>
    <w:rsid w:val="00BE5DDB"/>
    <w:rsid w:val="00BE786F"/>
    <w:rsid w:val="00BF7295"/>
    <w:rsid w:val="00C072FB"/>
    <w:rsid w:val="00C10866"/>
    <w:rsid w:val="00C13214"/>
    <w:rsid w:val="00C1467F"/>
    <w:rsid w:val="00C25BD9"/>
    <w:rsid w:val="00C31CC5"/>
    <w:rsid w:val="00C34BE8"/>
    <w:rsid w:val="00C36C17"/>
    <w:rsid w:val="00C37D02"/>
    <w:rsid w:val="00C47326"/>
    <w:rsid w:val="00C507EB"/>
    <w:rsid w:val="00C52047"/>
    <w:rsid w:val="00C657E3"/>
    <w:rsid w:val="00C66448"/>
    <w:rsid w:val="00C67AAC"/>
    <w:rsid w:val="00C710C6"/>
    <w:rsid w:val="00C71532"/>
    <w:rsid w:val="00C74824"/>
    <w:rsid w:val="00C81CF5"/>
    <w:rsid w:val="00C908A6"/>
    <w:rsid w:val="00C94236"/>
    <w:rsid w:val="00CA0887"/>
    <w:rsid w:val="00CA27FE"/>
    <w:rsid w:val="00CA2CFE"/>
    <w:rsid w:val="00CA3C3A"/>
    <w:rsid w:val="00CA64E2"/>
    <w:rsid w:val="00CB36B5"/>
    <w:rsid w:val="00CC3F68"/>
    <w:rsid w:val="00CC48EE"/>
    <w:rsid w:val="00CC688E"/>
    <w:rsid w:val="00CD16CB"/>
    <w:rsid w:val="00CE668E"/>
    <w:rsid w:val="00CF50AA"/>
    <w:rsid w:val="00D000D9"/>
    <w:rsid w:val="00D03871"/>
    <w:rsid w:val="00D067F9"/>
    <w:rsid w:val="00D15A59"/>
    <w:rsid w:val="00D16D06"/>
    <w:rsid w:val="00D17C53"/>
    <w:rsid w:val="00D21127"/>
    <w:rsid w:val="00D2136E"/>
    <w:rsid w:val="00D262C2"/>
    <w:rsid w:val="00D27FDA"/>
    <w:rsid w:val="00D4301C"/>
    <w:rsid w:val="00D46282"/>
    <w:rsid w:val="00D514AB"/>
    <w:rsid w:val="00D555DC"/>
    <w:rsid w:val="00D609BB"/>
    <w:rsid w:val="00D728E5"/>
    <w:rsid w:val="00D75B3C"/>
    <w:rsid w:val="00D80A85"/>
    <w:rsid w:val="00D8570A"/>
    <w:rsid w:val="00D96B7F"/>
    <w:rsid w:val="00DA32DC"/>
    <w:rsid w:val="00DB1625"/>
    <w:rsid w:val="00DB1D42"/>
    <w:rsid w:val="00DB3036"/>
    <w:rsid w:val="00DC0EE4"/>
    <w:rsid w:val="00DC1D38"/>
    <w:rsid w:val="00DC2E13"/>
    <w:rsid w:val="00DC3DF2"/>
    <w:rsid w:val="00DD4609"/>
    <w:rsid w:val="00DD5622"/>
    <w:rsid w:val="00DD57EE"/>
    <w:rsid w:val="00DD676A"/>
    <w:rsid w:val="00DD7972"/>
    <w:rsid w:val="00DE11CA"/>
    <w:rsid w:val="00DE5657"/>
    <w:rsid w:val="00DE68AC"/>
    <w:rsid w:val="00DE6C80"/>
    <w:rsid w:val="00DF2D01"/>
    <w:rsid w:val="00E00BA8"/>
    <w:rsid w:val="00E02915"/>
    <w:rsid w:val="00E12263"/>
    <w:rsid w:val="00E22B2D"/>
    <w:rsid w:val="00E231FA"/>
    <w:rsid w:val="00E34129"/>
    <w:rsid w:val="00E43EAE"/>
    <w:rsid w:val="00E52EC2"/>
    <w:rsid w:val="00E6392B"/>
    <w:rsid w:val="00E65D64"/>
    <w:rsid w:val="00E675A3"/>
    <w:rsid w:val="00E73E75"/>
    <w:rsid w:val="00E83042"/>
    <w:rsid w:val="00E85C6F"/>
    <w:rsid w:val="00E91F91"/>
    <w:rsid w:val="00E920FC"/>
    <w:rsid w:val="00E928CC"/>
    <w:rsid w:val="00E973E1"/>
    <w:rsid w:val="00EA0525"/>
    <w:rsid w:val="00EA3BBD"/>
    <w:rsid w:val="00EA422F"/>
    <w:rsid w:val="00EA5D1D"/>
    <w:rsid w:val="00EA6D0E"/>
    <w:rsid w:val="00EC4610"/>
    <w:rsid w:val="00EC7DD1"/>
    <w:rsid w:val="00ED6F5E"/>
    <w:rsid w:val="00ED7D10"/>
    <w:rsid w:val="00EE25B4"/>
    <w:rsid w:val="00EE3435"/>
    <w:rsid w:val="00EE6A82"/>
    <w:rsid w:val="00EE6C86"/>
    <w:rsid w:val="00EF46DF"/>
    <w:rsid w:val="00EF569C"/>
    <w:rsid w:val="00F0290C"/>
    <w:rsid w:val="00F06E4D"/>
    <w:rsid w:val="00F136D0"/>
    <w:rsid w:val="00F15254"/>
    <w:rsid w:val="00F2701F"/>
    <w:rsid w:val="00F328DF"/>
    <w:rsid w:val="00F34836"/>
    <w:rsid w:val="00F35E27"/>
    <w:rsid w:val="00F4280C"/>
    <w:rsid w:val="00F432E5"/>
    <w:rsid w:val="00F46892"/>
    <w:rsid w:val="00F57324"/>
    <w:rsid w:val="00F63E79"/>
    <w:rsid w:val="00F66FA9"/>
    <w:rsid w:val="00F728F9"/>
    <w:rsid w:val="00F81BAB"/>
    <w:rsid w:val="00F81E5B"/>
    <w:rsid w:val="00F8416E"/>
    <w:rsid w:val="00F86256"/>
    <w:rsid w:val="00F869EF"/>
    <w:rsid w:val="00FA10D6"/>
    <w:rsid w:val="00FA37CC"/>
    <w:rsid w:val="00FA730E"/>
    <w:rsid w:val="00FB3B99"/>
    <w:rsid w:val="00FC5B81"/>
    <w:rsid w:val="00FD3E72"/>
    <w:rsid w:val="00FD44F1"/>
    <w:rsid w:val="00FD4BFE"/>
    <w:rsid w:val="00FF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 w:type="paragraph" w:customStyle="1" w:styleId="Body">
    <w:name w:val="Body"/>
    <w:rsid w:val="00AB05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rsid w:val="00AB05A2"/>
    <w:rPr>
      <w:color w:val="0000FF"/>
      <w:u w:val="single" w:color="0000FF"/>
    </w:rPr>
  </w:style>
  <w:style w:type="numbering" w:customStyle="1" w:styleId="List0">
    <w:name w:val="List 0"/>
    <w:basedOn w:val="NoList"/>
    <w:rsid w:val="00AB05A2"/>
    <w:pPr>
      <w:numPr>
        <w:numId w:val="4"/>
      </w:numPr>
    </w:pPr>
  </w:style>
  <w:style w:type="numbering" w:customStyle="1" w:styleId="List1">
    <w:name w:val="List 1"/>
    <w:basedOn w:val="NoList"/>
    <w:rsid w:val="00AB05A2"/>
    <w:pPr>
      <w:numPr>
        <w:numId w:val="10"/>
      </w:numPr>
    </w:pPr>
  </w:style>
  <w:style w:type="numbering" w:customStyle="1" w:styleId="List21">
    <w:name w:val="List 21"/>
    <w:basedOn w:val="NoList"/>
    <w:rsid w:val="00AB05A2"/>
    <w:pPr>
      <w:numPr>
        <w:numId w:val="8"/>
      </w:numPr>
    </w:pPr>
  </w:style>
  <w:style w:type="numbering" w:customStyle="1" w:styleId="List6">
    <w:name w:val="List 6"/>
    <w:basedOn w:val="NoList"/>
    <w:rsid w:val="00AB05A2"/>
    <w:pPr>
      <w:numPr>
        <w:numId w:val="16"/>
      </w:numPr>
    </w:pPr>
  </w:style>
  <w:style w:type="numbering" w:customStyle="1" w:styleId="List7">
    <w:name w:val="List 7"/>
    <w:basedOn w:val="NoList"/>
    <w:rsid w:val="00AB05A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 w:type="paragraph" w:customStyle="1" w:styleId="Body">
    <w:name w:val="Body"/>
    <w:rsid w:val="00AB05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rsid w:val="00AB05A2"/>
    <w:rPr>
      <w:color w:val="0000FF"/>
      <w:u w:val="single" w:color="0000FF"/>
    </w:rPr>
  </w:style>
  <w:style w:type="numbering" w:customStyle="1" w:styleId="List0">
    <w:name w:val="List 0"/>
    <w:basedOn w:val="NoList"/>
    <w:rsid w:val="00AB05A2"/>
    <w:pPr>
      <w:numPr>
        <w:numId w:val="4"/>
      </w:numPr>
    </w:pPr>
  </w:style>
  <w:style w:type="numbering" w:customStyle="1" w:styleId="List1">
    <w:name w:val="List 1"/>
    <w:basedOn w:val="NoList"/>
    <w:rsid w:val="00AB05A2"/>
    <w:pPr>
      <w:numPr>
        <w:numId w:val="10"/>
      </w:numPr>
    </w:pPr>
  </w:style>
  <w:style w:type="numbering" w:customStyle="1" w:styleId="List21">
    <w:name w:val="List 21"/>
    <w:basedOn w:val="NoList"/>
    <w:rsid w:val="00AB05A2"/>
    <w:pPr>
      <w:numPr>
        <w:numId w:val="8"/>
      </w:numPr>
    </w:pPr>
  </w:style>
  <w:style w:type="numbering" w:customStyle="1" w:styleId="List6">
    <w:name w:val="List 6"/>
    <w:basedOn w:val="NoList"/>
    <w:rsid w:val="00AB05A2"/>
    <w:pPr>
      <w:numPr>
        <w:numId w:val="16"/>
      </w:numPr>
    </w:pPr>
  </w:style>
  <w:style w:type="numbering" w:customStyle="1" w:styleId="List7">
    <w:name w:val="List 7"/>
    <w:basedOn w:val="NoList"/>
    <w:rsid w:val="00AB05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834">
      <w:bodyDiv w:val="1"/>
      <w:marLeft w:val="0"/>
      <w:marRight w:val="0"/>
      <w:marTop w:val="0"/>
      <w:marBottom w:val="0"/>
      <w:divBdr>
        <w:top w:val="none" w:sz="0" w:space="0" w:color="auto"/>
        <w:left w:val="none" w:sz="0" w:space="0" w:color="auto"/>
        <w:bottom w:val="none" w:sz="0" w:space="0" w:color="auto"/>
        <w:right w:val="none" w:sz="0" w:space="0" w:color="auto"/>
      </w:divBdr>
    </w:div>
    <w:div w:id="156000462">
      <w:bodyDiv w:val="1"/>
      <w:marLeft w:val="0"/>
      <w:marRight w:val="0"/>
      <w:marTop w:val="0"/>
      <w:marBottom w:val="0"/>
      <w:divBdr>
        <w:top w:val="none" w:sz="0" w:space="0" w:color="auto"/>
        <w:left w:val="none" w:sz="0" w:space="0" w:color="auto"/>
        <w:bottom w:val="none" w:sz="0" w:space="0" w:color="auto"/>
        <w:right w:val="none" w:sz="0" w:space="0" w:color="auto"/>
      </w:divBdr>
    </w:div>
    <w:div w:id="189489297">
      <w:bodyDiv w:val="1"/>
      <w:marLeft w:val="0"/>
      <w:marRight w:val="0"/>
      <w:marTop w:val="0"/>
      <w:marBottom w:val="0"/>
      <w:divBdr>
        <w:top w:val="none" w:sz="0" w:space="0" w:color="auto"/>
        <w:left w:val="none" w:sz="0" w:space="0" w:color="auto"/>
        <w:bottom w:val="none" w:sz="0" w:space="0" w:color="auto"/>
        <w:right w:val="none" w:sz="0" w:space="0" w:color="auto"/>
      </w:divBdr>
    </w:div>
    <w:div w:id="288246988">
      <w:bodyDiv w:val="1"/>
      <w:marLeft w:val="0"/>
      <w:marRight w:val="0"/>
      <w:marTop w:val="0"/>
      <w:marBottom w:val="0"/>
      <w:divBdr>
        <w:top w:val="none" w:sz="0" w:space="0" w:color="auto"/>
        <w:left w:val="none" w:sz="0" w:space="0" w:color="auto"/>
        <w:bottom w:val="none" w:sz="0" w:space="0" w:color="auto"/>
        <w:right w:val="none" w:sz="0" w:space="0" w:color="auto"/>
      </w:divBdr>
    </w:div>
    <w:div w:id="626358867">
      <w:bodyDiv w:val="1"/>
      <w:marLeft w:val="0"/>
      <w:marRight w:val="0"/>
      <w:marTop w:val="0"/>
      <w:marBottom w:val="0"/>
      <w:divBdr>
        <w:top w:val="none" w:sz="0" w:space="0" w:color="auto"/>
        <w:left w:val="none" w:sz="0" w:space="0" w:color="auto"/>
        <w:bottom w:val="none" w:sz="0" w:space="0" w:color="auto"/>
        <w:right w:val="none" w:sz="0" w:space="0" w:color="auto"/>
      </w:divBdr>
    </w:div>
    <w:div w:id="1283030492">
      <w:bodyDiv w:val="1"/>
      <w:marLeft w:val="0"/>
      <w:marRight w:val="0"/>
      <w:marTop w:val="0"/>
      <w:marBottom w:val="0"/>
      <w:divBdr>
        <w:top w:val="none" w:sz="0" w:space="0" w:color="auto"/>
        <w:left w:val="none" w:sz="0" w:space="0" w:color="auto"/>
        <w:bottom w:val="none" w:sz="0" w:space="0" w:color="auto"/>
        <w:right w:val="none" w:sz="0" w:space="0" w:color="auto"/>
      </w:divBdr>
    </w:div>
    <w:div w:id="1420978188">
      <w:bodyDiv w:val="1"/>
      <w:marLeft w:val="0"/>
      <w:marRight w:val="0"/>
      <w:marTop w:val="0"/>
      <w:marBottom w:val="0"/>
      <w:divBdr>
        <w:top w:val="none" w:sz="0" w:space="0" w:color="auto"/>
        <w:left w:val="none" w:sz="0" w:space="0" w:color="auto"/>
        <w:bottom w:val="none" w:sz="0" w:space="0" w:color="auto"/>
        <w:right w:val="none" w:sz="0" w:space="0" w:color="auto"/>
      </w:divBdr>
    </w:div>
    <w:div w:id="20188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o.org.uk/news/latest_news/2014/~/media/documents/library/Data_Protection/Research_and_reports/outcome-report-gp-healthcar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ma.org.uk/support-at-work/gp-prac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a.org.uk/gp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ngland.nhs.uk/2014/01/23/patient-data-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256C-AA08-439C-8047-F91D491E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Surrey and Sussex LMCs</Company>
  <LinksUpToDate>false</LinksUpToDate>
  <CharactersWithSpaces>11192</CharactersWithSpaces>
  <SharedDoc>false</SharedDoc>
  <HLinks>
    <vt:vector size="54" baseType="variant">
      <vt:variant>
        <vt:i4>7209062</vt:i4>
      </vt:variant>
      <vt:variant>
        <vt:i4>24</vt:i4>
      </vt:variant>
      <vt:variant>
        <vt:i4>0</vt:i4>
      </vt:variant>
      <vt:variant>
        <vt:i4>5</vt:i4>
      </vt:variant>
      <vt:variant>
        <vt:lpwstr>http://bma.org.uk/working-for-change/negotiating-for-the-profession/bma-general-practitioners-committee/general-practice-contract/contract-changes-in-england-2015/urgent-measures</vt:lpwstr>
      </vt:variant>
      <vt:variant>
        <vt:lpwstr/>
      </vt:variant>
      <vt:variant>
        <vt:i4>7209087</vt:i4>
      </vt:variant>
      <vt:variant>
        <vt:i4>21</vt:i4>
      </vt:variant>
      <vt:variant>
        <vt:i4>0</vt:i4>
      </vt:variant>
      <vt:variant>
        <vt:i4>5</vt:i4>
      </vt:variant>
      <vt:variant>
        <vt:lpwstr>http://web2.bma.org.uk/pressrel.nsf/wall/32433ed9270c4a1580257d7a00343014?opendocument</vt:lpwstr>
      </vt:variant>
      <vt:variant>
        <vt:lpwstr/>
      </vt:variant>
      <vt:variant>
        <vt:i4>1441883</vt:i4>
      </vt:variant>
      <vt:variant>
        <vt:i4>18</vt:i4>
      </vt:variant>
      <vt:variant>
        <vt:i4>0</vt:i4>
      </vt:variant>
      <vt:variant>
        <vt:i4>5</vt:i4>
      </vt:variant>
      <vt:variant>
        <vt:lpwstr>http://www.england.nhs.uk/ourwork/futurenhs/</vt:lpwstr>
      </vt:variant>
      <vt:variant>
        <vt:lpwstr/>
      </vt:variant>
      <vt:variant>
        <vt:i4>6357119</vt:i4>
      </vt:variant>
      <vt:variant>
        <vt:i4>15</vt:i4>
      </vt:variant>
      <vt:variant>
        <vt:i4>0</vt:i4>
      </vt:variant>
      <vt:variant>
        <vt:i4>5</vt:i4>
      </vt:variant>
      <vt:variant>
        <vt:lpwstr>http://bma.org.uk/working-for-change/negotiating-for-the-profession/bma-general-practitioners-committee/gpc-vision</vt:lpwstr>
      </vt:variant>
      <vt:variant>
        <vt:lpwstr/>
      </vt:variant>
      <vt:variant>
        <vt:i4>3080315</vt:i4>
      </vt:variant>
      <vt:variant>
        <vt:i4>12</vt:i4>
      </vt:variant>
      <vt:variant>
        <vt:i4>0</vt:i4>
      </vt:variant>
      <vt:variant>
        <vt:i4>5</vt:i4>
      </vt:variant>
      <vt:variant>
        <vt:lpwstr>http://bma.org.uk/working-for-change/your-gp-cares</vt:lpwstr>
      </vt:variant>
      <vt:variant>
        <vt:lpwstr/>
      </vt:variant>
      <vt:variant>
        <vt:i4>7209087</vt:i4>
      </vt:variant>
      <vt:variant>
        <vt:i4>9</vt:i4>
      </vt:variant>
      <vt:variant>
        <vt:i4>0</vt:i4>
      </vt:variant>
      <vt:variant>
        <vt:i4>5</vt:i4>
      </vt:variant>
      <vt:variant>
        <vt:lpwstr>http://web2.bma.org.uk/pressrel.nsf/wall/32433ed9270c4a1580257d7a00343014?opendocument</vt:lpwstr>
      </vt:variant>
      <vt:variant>
        <vt:lpwstr/>
      </vt:variant>
      <vt:variant>
        <vt:i4>1441883</vt:i4>
      </vt:variant>
      <vt:variant>
        <vt:i4>6</vt:i4>
      </vt:variant>
      <vt:variant>
        <vt:i4>0</vt:i4>
      </vt:variant>
      <vt:variant>
        <vt:i4>5</vt:i4>
      </vt:variant>
      <vt:variant>
        <vt:lpwstr>http://www.england.nhs.uk/ourwork/futurenhs/</vt:lpwstr>
      </vt:variant>
      <vt:variant>
        <vt:lpwstr/>
      </vt:variant>
      <vt:variant>
        <vt:i4>4784195</vt:i4>
      </vt:variant>
      <vt:variant>
        <vt:i4>3</vt:i4>
      </vt:variant>
      <vt:variant>
        <vt:i4>0</vt:i4>
      </vt:variant>
      <vt:variant>
        <vt:i4>5</vt:i4>
      </vt:variant>
      <vt:variant>
        <vt:lpwstr>https://www.gov.uk/government/publications/applying-behavioural-insight-to-health-behavioural-insights-team-paper</vt:lpwstr>
      </vt:variant>
      <vt:variant>
        <vt:lpwstr/>
      </vt:variant>
      <vt:variant>
        <vt:i4>1048671</vt:i4>
      </vt:variant>
      <vt:variant>
        <vt:i4>2185</vt:i4>
      </vt:variant>
      <vt:variant>
        <vt:i4>1025</vt:i4>
      </vt:variant>
      <vt:variant>
        <vt:i4>1</vt:i4>
      </vt:variant>
      <vt:variant>
        <vt:lpwstr>C:\Documents and Settings\Liz.SERVER1\Local Settings\Temporary Internet Files\Marketing\Logo.jpg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6</cp:revision>
  <cp:lastPrinted>2015-01-23T12:07:00Z</cp:lastPrinted>
  <dcterms:created xsi:type="dcterms:W3CDTF">2016-04-27T10:10:00Z</dcterms:created>
  <dcterms:modified xsi:type="dcterms:W3CDTF">2016-12-12T12:37:00Z</dcterms:modified>
</cp:coreProperties>
</file>