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34F3D" w14:textId="77777777" w:rsidR="00EE5A06" w:rsidRPr="00C81F01" w:rsidRDefault="00EE5A06" w:rsidP="00EE5A06">
      <w:pPr>
        <w:spacing w:after="0"/>
        <w:rPr>
          <w:szCs w:val="24"/>
        </w:rPr>
      </w:pPr>
      <w:r>
        <w:rPr>
          <w:rStyle w:val="lrzxr"/>
          <w:rFonts w:cs="Arial"/>
          <w:color w:val="222222"/>
          <w:szCs w:val="24"/>
          <w:shd w:val="clear" w:color="auto" w:fill="FFFFFF"/>
        </w:rPr>
        <w:tab/>
      </w:r>
      <w:r>
        <w:rPr>
          <w:rStyle w:val="lrzxr"/>
          <w:rFonts w:cs="Arial"/>
          <w:color w:val="222222"/>
          <w:szCs w:val="24"/>
          <w:shd w:val="clear" w:color="auto" w:fill="FFFFFF"/>
        </w:rPr>
        <w:tab/>
      </w:r>
      <w:r>
        <w:rPr>
          <w:rStyle w:val="lrzxr"/>
          <w:rFonts w:cs="Arial"/>
          <w:color w:val="222222"/>
          <w:szCs w:val="24"/>
          <w:shd w:val="clear" w:color="auto" w:fill="FFFFFF"/>
        </w:rPr>
        <w:tab/>
      </w:r>
      <w:r>
        <w:rPr>
          <w:rStyle w:val="lrzxr"/>
          <w:rFonts w:cs="Arial"/>
          <w:color w:val="222222"/>
          <w:szCs w:val="24"/>
          <w:shd w:val="clear" w:color="auto" w:fill="FFFFFF"/>
        </w:rPr>
        <w:tab/>
      </w:r>
      <w:r>
        <w:rPr>
          <w:rStyle w:val="lrzxr"/>
          <w:rFonts w:cs="Arial"/>
          <w:color w:val="222222"/>
          <w:szCs w:val="24"/>
          <w:shd w:val="clear" w:color="auto" w:fill="FFFFFF"/>
        </w:rPr>
        <w:tab/>
      </w:r>
      <w:r>
        <w:rPr>
          <w:rStyle w:val="lrzxr"/>
          <w:rFonts w:cs="Arial"/>
          <w:color w:val="222222"/>
          <w:szCs w:val="24"/>
          <w:shd w:val="clear" w:color="auto" w:fill="FFFFFF"/>
        </w:rPr>
        <w:tab/>
      </w:r>
      <w:r>
        <w:rPr>
          <w:rStyle w:val="lrzxr"/>
          <w:rFonts w:cs="Arial"/>
          <w:color w:val="222222"/>
          <w:szCs w:val="24"/>
          <w:shd w:val="clear" w:color="auto" w:fill="FFFFFF"/>
        </w:rPr>
        <w:tab/>
      </w:r>
      <w:r>
        <w:rPr>
          <w:rStyle w:val="lrzxr"/>
          <w:rFonts w:cs="Arial"/>
          <w:color w:val="222222"/>
          <w:szCs w:val="24"/>
          <w:shd w:val="clear" w:color="auto" w:fill="FFFFFF"/>
        </w:rPr>
        <w:tab/>
      </w:r>
      <w:r>
        <w:rPr>
          <w:rStyle w:val="lrzxr"/>
          <w:rFonts w:cs="Arial"/>
          <w:color w:val="222222"/>
          <w:szCs w:val="24"/>
          <w:shd w:val="clear" w:color="auto" w:fill="FFFFFF"/>
        </w:rPr>
        <w:tab/>
      </w:r>
      <w:r>
        <w:rPr>
          <w:rStyle w:val="lrzxr"/>
          <w:rFonts w:cs="Arial"/>
          <w:color w:val="222222"/>
          <w:szCs w:val="24"/>
          <w:shd w:val="clear" w:color="auto" w:fill="FFFFFF"/>
        </w:rPr>
        <w:tab/>
      </w:r>
    </w:p>
    <w:p w14:paraId="5C83A409" w14:textId="77777777" w:rsidR="00EE5A06" w:rsidRDefault="00EE5A06" w:rsidP="00EE5A06">
      <w:pPr>
        <w:spacing w:after="0"/>
        <w:rPr>
          <w:rStyle w:val="lrzxr"/>
          <w:rFonts w:cs="Arial"/>
          <w:color w:val="222222"/>
          <w:szCs w:val="24"/>
          <w:shd w:val="clear" w:color="auto" w:fill="FFFFFF"/>
        </w:rPr>
      </w:pPr>
    </w:p>
    <w:p w14:paraId="4138D50C" w14:textId="77777777" w:rsidR="00E14149" w:rsidRDefault="00E14149" w:rsidP="00EE5A06">
      <w:pPr>
        <w:spacing w:after="0"/>
        <w:rPr>
          <w:rFonts w:cs="Calibri"/>
        </w:rPr>
      </w:pPr>
    </w:p>
    <w:p w14:paraId="3C51F6CA" w14:textId="77777777" w:rsidR="00172F2C" w:rsidRDefault="00172F2C" w:rsidP="00EE5A06">
      <w:pPr>
        <w:spacing w:after="0"/>
        <w:rPr>
          <w:rFonts w:cs="Calibri"/>
        </w:rPr>
      </w:pPr>
    </w:p>
    <w:p w14:paraId="2F757D86" w14:textId="77777777" w:rsidR="00CB78CC" w:rsidRDefault="00CB78CC" w:rsidP="00CB78CC">
      <w:pPr>
        <w:spacing w:after="0" w:line="240" w:lineRule="auto"/>
        <w:rPr>
          <w:rFonts w:ascii="Bliss 2 Light" w:hAnsi="Bliss 2 Light"/>
          <w:b/>
          <w:bCs/>
          <w:sz w:val="24"/>
          <w:szCs w:val="24"/>
        </w:rPr>
      </w:pPr>
      <w:r>
        <w:rPr>
          <w:rFonts w:ascii="Bliss 2 Light" w:hAnsi="Bliss 2 Light"/>
          <w:b/>
          <w:bCs/>
          <w:sz w:val="24"/>
          <w:szCs w:val="24"/>
        </w:rPr>
        <w:t>To all practices Surrey and Sussex LMCs</w:t>
      </w:r>
    </w:p>
    <w:p w14:paraId="495D44DC" w14:textId="77777777" w:rsidR="00CB78CC" w:rsidRDefault="00CB78CC" w:rsidP="00CB78CC">
      <w:pPr>
        <w:spacing w:after="0" w:line="240" w:lineRule="auto"/>
        <w:rPr>
          <w:rFonts w:ascii="Bliss 2 Light" w:hAnsi="Bliss 2 Light"/>
          <w:b/>
          <w:bCs/>
          <w:sz w:val="24"/>
          <w:szCs w:val="24"/>
        </w:rPr>
      </w:pPr>
    </w:p>
    <w:p w14:paraId="1A279B31" w14:textId="77777777" w:rsidR="00172F2C" w:rsidRDefault="00172F2C" w:rsidP="00EE5A06">
      <w:pPr>
        <w:spacing w:after="0"/>
        <w:rPr>
          <w:rFonts w:cs="Calibri"/>
        </w:rPr>
      </w:pPr>
    </w:p>
    <w:p w14:paraId="7C797685" w14:textId="77777777" w:rsidR="00475CAF" w:rsidRPr="009059DA" w:rsidRDefault="00475CAF" w:rsidP="00EE5A06">
      <w:pPr>
        <w:spacing w:after="0"/>
        <w:rPr>
          <w:rFonts w:cs="Calibri"/>
        </w:rPr>
      </w:pPr>
    </w:p>
    <w:p w14:paraId="5AC4D6B5" w14:textId="247E660C" w:rsidR="00475CAF" w:rsidRDefault="00475CAF" w:rsidP="00EE5A06">
      <w:pPr>
        <w:spacing w:after="0"/>
        <w:rPr>
          <w:rFonts w:cs="Calibri"/>
        </w:rPr>
      </w:pPr>
      <w:r w:rsidRPr="009059DA">
        <w:rPr>
          <w:rFonts w:cs="Calibri"/>
        </w:rPr>
        <w:tab/>
      </w:r>
      <w:r w:rsidRPr="009059DA">
        <w:rPr>
          <w:rFonts w:cs="Calibri"/>
        </w:rPr>
        <w:tab/>
      </w:r>
      <w:r w:rsidRPr="009059DA">
        <w:rPr>
          <w:rFonts w:cs="Calibri"/>
        </w:rPr>
        <w:tab/>
      </w:r>
      <w:r w:rsidRPr="009059DA">
        <w:rPr>
          <w:rFonts w:cs="Calibri"/>
        </w:rPr>
        <w:tab/>
      </w:r>
      <w:r w:rsidRPr="009059DA">
        <w:rPr>
          <w:rFonts w:cs="Calibri"/>
        </w:rPr>
        <w:tab/>
      </w:r>
      <w:r w:rsidRPr="009059DA">
        <w:rPr>
          <w:rFonts w:cs="Calibri"/>
        </w:rPr>
        <w:tab/>
      </w:r>
      <w:r w:rsidRPr="009059DA">
        <w:rPr>
          <w:rFonts w:cs="Calibri"/>
        </w:rPr>
        <w:tab/>
      </w:r>
      <w:r w:rsidRPr="009059DA">
        <w:rPr>
          <w:rFonts w:cs="Calibri"/>
        </w:rPr>
        <w:tab/>
      </w:r>
      <w:r w:rsidRPr="009059DA">
        <w:rPr>
          <w:rFonts w:cs="Calibri"/>
        </w:rPr>
        <w:tab/>
      </w:r>
      <w:r w:rsidRPr="009059DA">
        <w:rPr>
          <w:rFonts w:cs="Calibri"/>
        </w:rPr>
        <w:tab/>
        <w:t xml:space="preserve">      </w:t>
      </w:r>
      <w:r w:rsidR="00EE2888">
        <w:rPr>
          <w:rFonts w:cs="Calibri"/>
        </w:rPr>
        <w:t xml:space="preserve">28th </w:t>
      </w:r>
      <w:r w:rsidR="00CB78CC">
        <w:rPr>
          <w:rFonts w:cs="Calibri"/>
        </w:rPr>
        <w:t>March 2022</w:t>
      </w:r>
      <w:r w:rsidRPr="009059DA">
        <w:rPr>
          <w:rFonts w:cs="Calibri"/>
        </w:rPr>
        <w:t xml:space="preserve"> </w:t>
      </w:r>
    </w:p>
    <w:p w14:paraId="4C6DCA79" w14:textId="77777777" w:rsidR="00CB78CC" w:rsidRDefault="00CB78CC" w:rsidP="00EE5A06">
      <w:pPr>
        <w:spacing w:after="0"/>
        <w:rPr>
          <w:rFonts w:cs="Calibri"/>
        </w:rPr>
      </w:pPr>
    </w:p>
    <w:p w14:paraId="2AFD734D" w14:textId="77777777" w:rsidR="00B02A0C" w:rsidRDefault="00035B7C" w:rsidP="00172F2C">
      <w:pPr>
        <w:spacing w:after="0"/>
        <w:rPr>
          <w:rFonts w:cs="Calibri"/>
        </w:rPr>
      </w:pPr>
      <w:r w:rsidRPr="009059DA">
        <w:rPr>
          <w:rFonts w:cs="Calibri"/>
        </w:rPr>
        <w:t>Dear</w:t>
      </w:r>
      <w:r w:rsidR="00CB78CC">
        <w:rPr>
          <w:rFonts w:cs="Calibri"/>
        </w:rPr>
        <w:t xml:space="preserve"> Colleagues</w:t>
      </w:r>
      <w:r w:rsidRPr="009059DA">
        <w:rPr>
          <w:rFonts w:cs="Calibri"/>
        </w:rPr>
        <w:t xml:space="preserve"> </w:t>
      </w:r>
    </w:p>
    <w:p w14:paraId="583D27AA" w14:textId="77777777" w:rsidR="00172F2C" w:rsidRPr="00EE2888" w:rsidRDefault="00172F2C" w:rsidP="00172F2C">
      <w:pPr>
        <w:spacing w:after="0"/>
        <w:rPr>
          <w:rFonts w:cs="Calibri"/>
          <w:sz w:val="28"/>
          <w:szCs w:val="28"/>
        </w:rPr>
      </w:pPr>
    </w:p>
    <w:p w14:paraId="3D2784AB" w14:textId="77777777" w:rsidR="00CB78CC" w:rsidRPr="00EE2888" w:rsidRDefault="00CB78CC" w:rsidP="00172F2C">
      <w:pPr>
        <w:spacing w:after="0"/>
        <w:rPr>
          <w:rFonts w:cs="Calibri"/>
          <w:sz w:val="28"/>
          <w:szCs w:val="28"/>
        </w:rPr>
      </w:pPr>
      <w:r w:rsidRPr="00EE2888">
        <w:rPr>
          <w:rFonts w:cs="Calibri"/>
          <w:b/>
          <w:bCs/>
          <w:sz w:val="28"/>
          <w:szCs w:val="28"/>
        </w:rPr>
        <w:t>PCN DES participation and Implications of withdrawing from the DES</w:t>
      </w:r>
    </w:p>
    <w:p w14:paraId="30195AC8" w14:textId="77777777" w:rsidR="00CB78CC" w:rsidRDefault="00CB78CC" w:rsidP="00172F2C">
      <w:pPr>
        <w:spacing w:after="0"/>
        <w:rPr>
          <w:rFonts w:cs="Calibri"/>
        </w:rPr>
      </w:pPr>
    </w:p>
    <w:p w14:paraId="57BC6925" w14:textId="77777777" w:rsidR="00CB78CC" w:rsidRDefault="00CB78CC" w:rsidP="00172F2C">
      <w:pPr>
        <w:spacing w:after="0"/>
        <w:rPr>
          <w:rFonts w:cs="Calibri"/>
        </w:rPr>
      </w:pPr>
      <w:r>
        <w:rPr>
          <w:rFonts w:cs="Calibri"/>
        </w:rPr>
        <w:t>I am writing to all practices to give contractual advice in relation to withdrawal from the PCN DES from 1</w:t>
      </w:r>
      <w:r w:rsidRPr="00CB78CC">
        <w:rPr>
          <w:rFonts w:cs="Calibri"/>
          <w:vertAlign w:val="superscript"/>
        </w:rPr>
        <w:t>st</w:t>
      </w:r>
      <w:r>
        <w:rPr>
          <w:rFonts w:cs="Calibri"/>
        </w:rPr>
        <w:t xml:space="preserve"> April 2022, during the </w:t>
      </w:r>
      <w:r w:rsidR="00413512">
        <w:rPr>
          <w:rFonts w:cs="Calibri"/>
        </w:rPr>
        <w:t>one-month</w:t>
      </w:r>
      <w:r>
        <w:rPr>
          <w:rFonts w:cs="Calibri"/>
        </w:rPr>
        <w:t xml:space="preserve"> period following the introduction </w:t>
      </w:r>
      <w:r w:rsidR="00413512">
        <w:rPr>
          <w:rFonts w:cs="Calibri"/>
        </w:rPr>
        <w:t>of</w:t>
      </w:r>
      <w:r>
        <w:rPr>
          <w:rFonts w:cs="Calibri"/>
        </w:rPr>
        <w:t xml:space="preserve"> the2022/23 PCN DES specification.  All practices have a contractual entitlement to withdraw from the DES, during this period, but if they do not do so are assumed by default to have opted into the DES for a further year.</w:t>
      </w:r>
    </w:p>
    <w:p w14:paraId="721A9D03" w14:textId="77777777" w:rsidR="00CB78CC" w:rsidRDefault="00CB78CC" w:rsidP="00172F2C">
      <w:pPr>
        <w:spacing w:after="0"/>
        <w:rPr>
          <w:rFonts w:cs="Calibri"/>
        </w:rPr>
      </w:pPr>
    </w:p>
    <w:p w14:paraId="02065D80" w14:textId="77777777" w:rsidR="00CB78CC" w:rsidRDefault="00CB78CC" w:rsidP="00172F2C">
      <w:pPr>
        <w:spacing w:after="0"/>
        <w:rPr>
          <w:rFonts w:cs="Calibri"/>
        </w:rPr>
      </w:pPr>
      <w:r>
        <w:rPr>
          <w:rFonts w:cs="Calibri"/>
        </w:rPr>
        <w:t xml:space="preserve">In some years, </w:t>
      </w:r>
      <w:r w:rsidR="00413512">
        <w:rPr>
          <w:rFonts w:cs="Calibri"/>
        </w:rPr>
        <w:t>such as October 2021, an amended PCN DES specification is introduced part way through the year, when a similar one month opt out is available, but there is no guarantee that such an in-year revision will occur.</w:t>
      </w:r>
    </w:p>
    <w:p w14:paraId="493DB012" w14:textId="77777777" w:rsidR="00413512" w:rsidRDefault="00413512" w:rsidP="00172F2C">
      <w:pPr>
        <w:spacing w:after="0"/>
        <w:rPr>
          <w:rFonts w:cs="Calibri"/>
        </w:rPr>
      </w:pPr>
    </w:p>
    <w:p w14:paraId="5E9881B3" w14:textId="2F1A616B" w:rsidR="00413512" w:rsidRDefault="00413512" w:rsidP="00172F2C">
      <w:pPr>
        <w:spacing w:after="0"/>
        <w:rPr>
          <w:rFonts w:cs="Calibri"/>
        </w:rPr>
      </w:pPr>
      <w:r>
        <w:rPr>
          <w:rFonts w:cs="Calibri"/>
        </w:rPr>
        <w:t>Any practice wh</w:t>
      </w:r>
      <w:r w:rsidR="00EE2888">
        <w:rPr>
          <w:rFonts w:cs="Calibri"/>
        </w:rPr>
        <w:t>ich</w:t>
      </w:r>
      <w:r>
        <w:rPr>
          <w:rFonts w:cs="Calibri"/>
        </w:rPr>
        <w:t xml:space="preserve"> is considering opting out of the PCN DES should discuss this with their PCN CD, </w:t>
      </w:r>
      <w:r w:rsidR="00EE2888">
        <w:rPr>
          <w:rFonts w:cs="Calibri"/>
        </w:rPr>
        <w:t xml:space="preserve">and </w:t>
      </w:r>
      <w:r>
        <w:rPr>
          <w:rFonts w:cs="Calibri"/>
        </w:rPr>
        <w:t>can contact the CCG, and the LMC, at the earliest opportunity.  C</w:t>
      </w:r>
      <w:r w:rsidR="004B3E99">
        <w:rPr>
          <w:rFonts w:cs="Calibri"/>
        </w:rPr>
        <w:t>l</w:t>
      </w:r>
      <w:r>
        <w:rPr>
          <w:rFonts w:cs="Calibri"/>
        </w:rPr>
        <w:t>ear</w:t>
      </w:r>
      <w:r w:rsidR="004B3E99">
        <w:rPr>
          <w:rFonts w:cs="Calibri"/>
        </w:rPr>
        <w:t>l</w:t>
      </w:r>
      <w:r>
        <w:rPr>
          <w:rFonts w:cs="Calibri"/>
        </w:rPr>
        <w:t xml:space="preserve">y withdrawing </w:t>
      </w:r>
      <w:r w:rsidR="004B3E99">
        <w:rPr>
          <w:rFonts w:cs="Calibri"/>
        </w:rPr>
        <w:t>from</w:t>
      </w:r>
      <w:r>
        <w:rPr>
          <w:rFonts w:cs="Calibri"/>
        </w:rPr>
        <w:t xml:space="preserve"> the PCN DES has implications for both the practice involved and other PCN members, although it is an individual </w:t>
      </w:r>
      <w:r w:rsidR="00BB4E5E">
        <w:rPr>
          <w:rFonts w:cs="Calibri"/>
        </w:rPr>
        <w:t xml:space="preserve">practice </w:t>
      </w:r>
      <w:r>
        <w:rPr>
          <w:rFonts w:cs="Calibri"/>
        </w:rPr>
        <w:t xml:space="preserve">decision.  This LMC advice, and a separate advice letter about List Closure application, is being circulated in the context of the GPCs recent ‘safer working guide’ which is available at: -  </w:t>
      </w:r>
    </w:p>
    <w:p w14:paraId="1BB494BC" w14:textId="77777777" w:rsidR="00413512" w:rsidRDefault="009C6073" w:rsidP="00172F2C">
      <w:pPr>
        <w:spacing w:after="0"/>
        <w:rPr>
          <w:rFonts w:cs="Calibri"/>
        </w:rPr>
      </w:pPr>
      <w:hyperlink r:id="rId7" w:history="1">
        <w:r w:rsidR="00413512" w:rsidRPr="00413512">
          <w:rPr>
            <w:rStyle w:val="Hyperlink"/>
            <w:rFonts w:cs="Calibri"/>
            <w:color w:val="0000FF"/>
            <w:sz w:val="24"/>
            <w:szCs w:val="24"/>
          </w:rPr>
          <w:t>Safe working in general practice (bma.org.uk)</w:t>
        </w:r>
      </w:hyperlink>
    </w:p>
    <w:p w14:paraId="79BAA891" w14:textId="77777777" w:rsidR="00413512" w:rsidRDefault="00413512" w:rsidP="00172F2C">
      <w:pPr>
        <w:spacing w:after="0"/>
        <w:rPr>
          <w:rFonts w:cs="Calibri"/>
        </w:rPr>
      </w:pPr>
    </w:p>
    <w:p w14:paraId="549CCA7C" w14:textId="77777777" w:rsidR="0012732D" w:rsidRDefault="0012732D" w:rsidP="00172F2C">
      <w:pPr>
        <w:spacing w:after="0"/>
        <w:rPr>
          <w:rFonts w:cs="Calibri"/>
          <w:b/>
          <w:bCs/>
        </w:rPr>
      </w:pPr>
      <w:r>
        <w:rPr>
          <w:rFonts w:cs="Calibri"/>
          <w:b/>
          <w:bCs/>
        </w:rPr>
        <w:t>Process of Withdrawal</w:t>
      </w:r>
    </w:p>
    <w:p w14:paraId="1E10EB30" w14:textId="77777777" w:rsidR="0012732D" w:rsidRDefault="0012732D" w:rsidP="00172F2C">
      <w:pPr>
        <w:spacing w:after="0"/>
        <w:rPr>
          <w:rFonts w:cs="Calibri"/>
          <w:b/>
          <w:bCs/>
        </w:rPr>
      </w:pPr>
    </w:p>
    <w:p w14:paraId="0A1B58BF" w14:textId="36884962" w:rsidR="0012732D" w:rsidRDefault="0012732D" w:rsidP="00172F2C">
      <w:pPr>
        <w:spacing w:after="0"/>
        <w:rPr>
          <w:rFonts w:cs="Calibri"/>
        </w:rPr>
      </w:pPr>
      <w:r>
        <w:rPr>
          <w:rFonts w:cs="Calibri"/>
        </w:rPr>
        <w:t>If a practice withdraws from participation in the PCN DES they will no longer be responsible for delivering any of the PCN DES specifications.  If any ARRS staff are directly employed by that practice, they will need to be TUPED into suitable employment with the continuing PCN,</w:t>
      </w:r>
      <w:r w:rsidR="00EE2888">
        <w:rPr>
          <w:rFonts w:cs="Calibri"/>
        </w:rPr>
        <w:t xml:space="preserve"> or other organisation undertaking PCN DES services,</w:t>
      </w:r>
      <w:r>
        <w:rPr>
          <w:rFonts w:cs="Calibri"/>
        </w:rPr>
        <w:t xml:space="preserve"> and HR advice should be sought.  Alternatively</w:t>
      </w:r>
      <w:r w:rsidR="00E2144C">
        <w:rPr>
          <w:rFonts w:cs="Calibri"/>
        </w:rPr>
        <w:t>,</w:t>
      </w:r>
      <w:r>
        <w:rPr>
          <w:rFonts w:cs="Calibri"/>
        </w:rPr>
        <w:t xml:space="preserve"> a practice can offer direct continuing employment, but </w:t>
      </w:r>
      <w:r w:rsidR="00EE2888">
        <w:rPr>
          <w:rFonts w:cs="Calibri"/>
        </w:rPr>
        <w:t xml:space="preserve">in that case </w:t>
      </w:r>
      <w:r>
        <w:rPr>
          <w:rFonts w:cs="Calibri"/>
        </w:rPr>
        <w:t>no ARRS reimbursement would be available.</w:t>
      </w:r>
    </w:p>
    <w:p w14:paraId="562855BA" w14:textId="77777777" w:rsidR="0012732D" w:rsidRDefault="0012732D" w:rsidP="00172F2C">
      <w:pPr>
        <w:spacing w:after="0"/>
        <w:rPr>
          <w:rFonts w:cs="Calibri"/>
        </w:rPr>
      </w:pPr>
    </w:p>
    <w:p w14:paraId="646D9F34" w14:textId="21CF71E5" w:rsidR="0012732D" w:rsidRDefault="0012732D" w:rsidP="00172F2C">
      <w:pPr>
        <w:spacing w:after="0"/>
        <w:rPr>
          <w:rFonts w:cs="Calibri"/>
        </w:rPr>
      </w:pPr>
      <w:r>
        <w:rPr>
          <w:rFonts w:cs="Calibri"/>
        </w:rPr>
        <w:t xml:space="preserve">Once a practice has withdrawn the remaining member practice will need to advise the CCG of their new configuration, membership, and PCN CD; </w:t>
      </w:r>
      <w:proofErr w:type="gramStart"/>
      <w:r>
        <w:rPr>
          <w:rFonts w:cs="Calibri"/>
        </w:rPr>
        <w:t>as long as</w:t>
      </w:r>
      <w:proofErr w:type="gramEnd"/>
      <w:r>
        <w:rPr>
          <w:rFonts w:cs="Calibri"/>
        </w:rPr>
        <w:t xml:space="preserve"> the normal criteria for a PCN continue to be met, this should cause no difficulties.  If the withdrawal of a practice </w:t>
      </w:r>
      <w:r w:rsidR="000C0188">
        <w:rPr>
          <w:rFonts w:cs="Calibri"/>
        </w:rPr>
        <w:t xml:space="preserve">changed, for example, the PCN List size such that it falls below 30k, then the CCG and remaining member practices will need to look at the </w:t>
      </w:r>
      <w:r w:rsidR="00EE2888">
        <w:rPr>
          <w:rFonts w:cs="Calibri"/>
        </w:rPr>
        <w:t>vi</w:t>
      </w:r>
      <w:r w:rsidR="000C0188">
        <w:rPr>
          <w:rFonts w:cs="Calibri"/>
        </w:rPr>
        <w:t>ability of the PCN</w:t>
      </w:r>
      <w:r w:rsidR="00EE2888">
        <w:rPr>
          <w:rFonts w:cs="Calibri"/>
        </w:rPr>
        <w:t xml:space="preserve"> and discuss other options</w:t>
      </w:r>
      <w:r w:rsidR="000C0188">
        <w:rPr>
          <w:rFonts w:cs="Calibri"/>
        </w:rPr>
        <w:t xml:space="preserve">. </w:t>
      </w:r>
    </w:p>
    <w:p w14:paraId="5C81778A" w14:textId="77777777" w:rsidR="000C0188" w:rsidRDefault="000C0188" w:rsidP="00172F2C">
      <w:pPr>
        <w:spacing w:after="0"/>
        <w:rPr>
          <w:rFonts w:cs="Calibri"/>
        </w:rPr>
      </w:pPr>
    </w:p>
    <w:p w14:paraId="6DD3C751" w14:textId="01C39E3D" w:rsidR="000C0188" w:rsidRDefault="000C0188" w:rsidP="00172F2C">
      <w:pPr>
        <w:spacing w:after="0"/>
        <w:rPr>
          <w:rFonts w:cs="Calibri"/>
        </w:rPr>
      </w:pPr>
      <w:r>
        <w:rPr>
          <w:rFonts w:cs="Calibri"/>
        </w:rPr>
        <w:t>However, once a practice has withdrawn, the CCG has a responsibility to ensure that practices registered population still have access to the PCN DES services.  The CCG will therefore need to allocate the</w:t>
      </w:r>
      <w:r w:rsidR="00EE2888">
        <w:rPr>
          <w:rFonts w:cs="Calibri"/>
        </w:rPr>
        <w:t xml:space="preserve"> non-participating practices</w:t>
      </w:r>
      <w:r>
        <w:rPr>
          <w:rFonts w:cs="Calibri"/>
        </w:rPr>
        <w:t xml:space="preserve"> list </w:t>
      </w:r>
      <w:r w:rsidR="00EE2888">
        <w:rPr>
          <w:rFonts w:cs="Calibri"/>
        </w:rPr>
        <w:t xml:space="preserve">of patients </w:t>
      </w:r>
      <w:r>
        <w:rPr>
          <w:rFonts w:cs="Calibri"/>
        </w:rPr>
        <w:t xml:space="preserve">to a PCN and in most cases this is likely to be to the PCN the practice has left, which will </w:t>
      </w:r>
      <w:r w:rsidR="004B3E99">
        <w:rPr>
          <w:rFonts w:cs="Calibri"/>
        </w:rPr>
        <w:t>therefore</w:t>
      </w:r>
      <w:r>
        <w:rPr>
          <w:rFonts w:cs="Calibri"/>
        </w:rPr>
        <w:t xml:space="preserve"> t</w:t>
      </w:r>
      <w:r w:rsidR="004B3E99">
        <w:rPr>
          <w:rFonts w:cs="Calibri"/>
        </w:rPr>
        <w:t>h</w:t>
      </w:r>
      <w:r>
        <w:rPr>
          <w:rFonts w:cs="Calibri"/>
        </w:rPr>
        <w:t>en have a responsibility for delivering PCN DES services to that population.</w:t>
      </w:r>
    </w:p>
    <w:p w14:paraId="709254A0" w14:textId="77777777" w:rsidR="000C0188" w:rsidRDefault="000C0188" w:rsidP="00172F2C">
      <w:pPr>
        <w:spacing w:after="0"/>
        <w:rPr>
          <w:rFonts w:cs="Calibri"/>
        </w:rPr>
      </w:pPr>
    </w:p>
    <w:p w14:paraId="38C57509" w14:textId="4D33DE5C" w:rsidR="000C0188" w:rsidRDefault="000C0188" w:rsidP="00172F2C">
      <w:pPr>
        <w:spacing w:after="0"/>
        <w:rPr>
          <w:rFonts w:cs="Calibri"/>
        </w:rPr>
      </w:pPr>
      <w:r>
        <w:rPr>
          <w:rFonts w:cs="Calibri"/>
        </w:rPr>
        <w:t xml:space="preserve">The withdrawing practice has no responsibility for delivering such </w:t>
      </w:r>
      <w:r w:rsidR="00BB4E5E">
        <w:rPr>
          <w:rFonts w:cs="Calibri"/>
        </w:rPr>
        <w:t>services,</w:t>
      </w:r>
      <w:r>
        <w:rPr>
          <w:rFonts w:cs="Calibri"/>
        </w:rPr>
        <w:t xml:space="preserve"> but it does have a contractual ‘Duty of Cooperation’ with </w:t>
      </w:r>
      <w:r w:rsidR="006531B4">
        <w:rPr>
          <w:rFonts w:cs="Calibri"/>
        </w:rPr>
        <w:t xml:space="preserve">any continuing </w:t>
      </w:r>
      <w:r>
        <w:rPr>
          <w:rFonts w:cs="Calibri"/>
        </w:rPr>
        <w:t xml:space="preserve">PCN to provide such information as is needed to enable the </w:t>
      </w:r>
      <w:r w:rsidR="007C145D">
        <w:rPr>
          <w:rFonts w:cs="Calibri"/>
        </w:rPr>
        <w:t xml:space="preserve">PCN to deliver services.  Thus, for example, the practice would need to provide information on how to book appointments under the </w:t>
      </w:r>
      <w:r w:rsidR="00BB4E5E">
        <w:rPr>
          <w:rFonts w:cs="Calibri"/>
        </w:rPr>
        <w:t>Extended Hours/</w:t>
      </w:r>
      <w:r w:rsidR="007C145D">
        <w:rPr>
          <w:rFonts w:cs="Calibri"/>
        </w:rPr>
        <w:t>Access Specification and where these are held.  It may also be appropriate to provide lists of patients suitable for MDT meetings</w:t>
      </w:r>
      <w:r w:rsidR="006531B4">
        <w:rPr>
          <w:rFonts w:cs="Calibri"/>
        </w:rPr>
        <w:t>, and other data sharing, signing a data sharing agreement.</w:t>
      </w:r>
      <w:r w:rsidR="007C145D">
        <w:rPr>
          <w:rFonts w:cs="Calibri"/>
        </w:rPr>
        <w:t xml:space="preserve">  It would also be open to the non-participating practice to permit ARRS staff to be deployed there, although no supervision or oversight would be expected.</w:t>
      </w:r>
    </w:p>
    <w:p w14:paraId="0A27BE4D" w14:textId="77777777" w:rsidR="007C145D" w:rsidRDefault="007C145D" w:rsidP="00172F2C">
      <w:pPr>
        <w:spacing w:after="0"/>
        <w:rPr>
          <w:rFonts w:cs="Calibri"/>
        </w:rPr>
      </w:pPr>
    </w:p>
    <w:p w14:paraId="31BC5642" w14:textId="4DBC42F7" w:rsidR="007C145D" w:rsidRDefault="007C145D" w:rsidP="00172F2C">
      <w:pPr>
        <w:spacing w:after="0"/>
        <w:rPr>
          <w:rFonts w:cs="Calibri"/>
        </w:rPr>
      </w:pPr>
      <w:r>
        <w:rPr>
          <w:rFonts w:cs="Calibri"/>
        </w:rPr>
        <w:t>These arrangements would need to be worked through on a cooperative basis</w:t>
      </w:r>
      <w:r w:rsidR="00C264C1">
        <w:rPr>
          <w:rFonts w:cs="Calibri"/>
        </w:rPr>
        <w:t>;</w:t>
      </w:r>
      <w:r>
        <w:rPr>
          <w:rFonts w:cs="Calibri"/>
        </w:rPr>
        <w:t xml:space="preserve"> the aim would be to ensure a safe delivery of care, but </w:t>
      </w:r>
      <w:r w:rsidR="006531B4">
        <w:rPr>
          <w:rFonts w:cs="Calibri"/>
        </w:rPr>
        <w:t xml:space="preserve">with </w:t>
      </w:r>
      <w:r>
        <w:rPr>
          <w:rFonts w:cs="Calibri"/>
        </w:rPr>
        <w:t>no responsibility for doing more than providing information and</w:t>
      </w:r>
      <w:r w:rsidR="006531B4">
        <w:rPr>
          <w:rFonts w:cs="Calibri"/>
        </w:rPr>
        <w:t xml:space="preserve"> data </w:t>
      </w:r>
      <w:r>
        <w:rPr>
          <w:rFonts w:cs="Calibri"/>
        </w:rPr>
        <w:t xml:space="preserve">access for the non-participating practice. </w:t>
      </w:r>
    </w:p>
    <w:p w14:paraId="2145E3FE" w14:textId="77777777" w:rsidR="00C264C1" w:rsidRDefault="00C264C1" w:rsidP="00172F2C">
      <w:pPr>
        <w:spacing w:after="0"/>
        <w:rPr>
          <w:rFonts w:cs="Calibri"/>
        </w:rPr>
      </w:pPr>
    </w:p>
    <w:p w14:paraId="11483BBA" w14:textId="3D20F6E2" w:rsidR="00C264C1" w:rsidRPr="00C264C1" w:rsidRDefault="00C264C1" w:rsidP="00172F2C">
      <w:pPr>
        <w:spacing w:after="0"/>
        <w:rPr>
          <w:rFonts w:cs="Calibri"/>
          <w:b/>
          <w:bCs/>
        </w:rPr>
      </w:pPr>
      <w:r w:rsidRPr="00C264C1">
        <w:rPr>
          <w:rFonts w:cs="Calibri"/>
          <w:b/>
          <w:bCs/>
        </w:rPr>
        <w:t>Financial Implications of Withdrawal</w:t>
      </w:r>
      <w:r w:rsidR="006531B4">
        <w:rPr>
          <w:rFonts w:cs="Calibri"/>
          <w:b/>
          <w:bCs/>
        </w:rPr>
        <w:br/>
      </w:r>
    </w:p>
    <w:p w14:paraId="1B2807BE" w14:textId="253506F8" w:rsidR="00C264C1" w:rsidRDefault="00C264C1" w:rsidP="00172F2C">
      <w:pPr>
        <w:spacing w:after="0"/>
        <w:rPr>
          <w:rFonts w:cs="Calibri"/>
        </w:rPr>
      </w:pPr>
      <w:r>
        <w:rPr>
          <w:rFonts w:cs="Calibri"/>
        </w:rPr>
        <w:t xml:space="preserve">Once a practice is no longer delivering the PCN DES, they will no longer receive the £1.76 Network Participation Payment.  All other PCN DES payments are received through the PCN, and the non-participating practice would not, unless other local arrangements were negotiated, be </w:t>
      </w:r>
      <w:r w:rsidR="004B3E99">
        <w:rPr>
          <w:rFonts w:cs="Calibri"/>
        </w:rPr>
        <w:t xml:space="preserve">entitled to any distribution of such income, for example, in relation to the £1.50 “CCG” payment or IIF achievement.  It would be open to a practice to discuss IIF achievement targets with PCN </w:t>
      </w:r>
      <w:proofErr w:type="gramStart"/>
      <w:r w:rsidR="004B3E99">
        <w:rPr>
          <w:rFonts w:cs="Calibri"/>
        </w:rPr>
        <w:t>members</w:t>
      </w:r>
      <w:proofErr w:type="gramEnd"/>
      <w:r w:rsidR="004B3E99">
        <w:rPr>
          <w:rFonts w:cs="Calibri"/>
        </w:rPr>
        <w:t xml:space="preserve"> but this would be a local and discretionary exercise</w:t>
      </w:r>
      <w:r w:rsidR="00184DA1">
        <w:rPr>
          <w:rFonts w:cs="Calibri"/>
        </w:rPr>
        <w:t xml:space="preserve">, as, even if a </w:t>
      </w:r>
      <w:r w:rsidR="00BB4E5E">
        <w:rPr>
          <w:rFonts w:cs="Calibri"/>
        </w:rPr>
        <w:t>practice is</w:t>
      </w:r>
      <w:r w:rsidR="00184DA1">
        <w:rPr>
          <w:rFonts w:cs="Calibri"/>
        </w:rPr>
        <w:t xml:space="preserve"> not signed up to the PCN DES it could still be a PCN member, like any other non-practice provider, </w:t>
      </w:r>
      <w:r w:rsidR="00BB4E5E">
        <w:rPr>
          <w:rFonts w:cs="Calibri"/>
        </w:rPr>
        <w:t>but</w:t>
      </w:r>
      <w:r w:rsidR="00184DA1">
        <w:rPr>
          <w:rFonts w:cs="Calibri"/>
        </w:rPr>
        <w:t xml:space="preserve"> not a Core Network Practice.</w:t>
      </w:r>
    </w:p>
    <w:p w14:paraId="5A1A753E" w14:textId="15F32879" w:rsidR="004B3E99" w:rsidRDefault="004B3E99" w:rsidP="00172F2C">
      <w:pPr>
        <w:spacing w:after="0"/>
        <w:rPr>
          <w:rFonts w:cs="Calibri"/>
        </w:rPr>
      </w:pPr>
    </w:p>
    <w:p w14:paraId="2C646933" w14:textId="3682D5CC" w:rsidR="006531B4" w:rsidRDefault="006531B4" w:rsidP="00172F2C">
      <w:pPr>
        <w:spacing w:after="0"/>
        <w:rPr>
          <w:rFonts w:cs="Calibri"/>
        </w:rPr>
      </w:pPr>
      <w:r>
        <w:rPr>
          <w:rFonts w:cs="Calibri"/>
        </w:rPr>
        <w:t>Although a non-participating practice</w:t>
      </w:r>
      <w:r w:rsidR="00184DA1">
        <w:rPr>
          <w:rFonts w:cs="Calibri"/>
        </w:rPr>
        <w:t>’s</w:t>
      </w:r>
      <w:r>
        <w:rPr>
          <w:rFonts w:cs="Calibri"/>
        </w:rPr>
        <w:t xml:space="preserve"> list will be </w:t>
      </w:r>
      <w:r w:rsidR="00184DA1">
        <w:rPr>
          <w:rFonts w:cs="Calibri"/>
        </w:rPr>
        <w:t>allocated</w:t>
      </w:r>
      <w:r>
        <w:rPr>
          <w:rFonts w:cs="Calibri"/>
        </w:rPr>
        <w:t xml:space="preserve"> to a PCN other organisations delivering the PCN DES, CCGs will need to make local financial arrangements as PCNs capitated payments a</w:t>
      </w:r>
      <w:r w:rsidR="00184DA1">
        <w:rPr>
          <w:rFonts w:cs="Calibri"/>
        </w:rPr>
        <w:t>re</w:t>
      </w:r>
      <w:r>
        <w:rPr>
          <w:rFonts w:cs="Calibri"/>
        </w:rPr>
        <w:t xml:space="preserve"> mostly calculated by reference to an aggregate of its Core Member Practice, which will not include this allocated list.  This will include core PCN funding, the Extended Hours (and from 1</w:t>
      </w:r>
      <w:r w:rsidRPr="006531B4">
        <w:rPr>
          <w:rFonts w:cs="Calibri"/>
          <w:vertAlign w:val="superscript"/>
        </w:rPr>
        <w:t>st</w:t>
      </w:r>
      <w:r>
        <w:rPr>
          <w:rFonts w:cs="Calibri"/>
        </w:rPr>
        <w:t xml:space="preserve"> October 2022) </w:t>
      </w:r>
      <w:r w:rsidR="00184DA1">
        <w:rPr>
          <w:rFonts w:cs="Calibri"/>
        </w:rPr>
        <w:t>Enhanced</w:t>
      </w:r>
      <w:r>
        <w:rPr>
          <w:rFonts w:cs="Calibri"/>
        </w:rPr>
        <w:t xml:space="preserve"> Access payment, Care Homes premium and PCN CD funding.  The CCG will also be responsible for reviewing ARRS workforce funding to support the delivery of PCN DES services to the non-</w:t>
      </w:r>
      <w:r w:rsidR="00BB4E5E">
        <w:rPr>
          <w:rFonts w:cs="Calibri"/>
        </w:rPr>
        <w:t>participating practice’s</w:t>
      </w:r>
      <w:r>
        <w:rPr>
          <w:rFonts w:cs="Calibri"/>
        </w:rPr>
        <w:t xml:space="preserve"> </w:t>
      </w:r>
      <w:r w:rsidR="00184DA1">
        <w:rPr>
          <w:rFonts w:cs="Calibri"/>
        </w:rPr>
        <w:t xml:space="preserve">patient list.  </w:t>
      </w:r>
      <w:r w:rsidR="002B3E38">
        <w:rPr>
          <w:rFonts w:cs="Calibri"/>
        </w:rPr>
        <w:t>Any</w:t>
      </w:r>
      <w:r w:rsidR="00184DA1">
        <w:rPr>
          <w:rFonts w:cs="Calibri"/>
        </w:rPr>
        <w:t xml:space="preserve"> PCN CD governance role will not extend to the non-participating practice</w:t>
      </w:r>
      <w:r w:rsidR="002B3E38">
        <w:rPr>
          <w:rFonts w:cs="Calibri"/>
        </w:rPr>
        <w:t>,</w:t>
      </w:r>
      <w:r w:rsidR="00184DA1">
        <w:rPr>
          <w:rFonts w:cs="Calibri"/>
        </w:rPr>
        <w:t xml:space="preserve"> except by local agreement.</w:t>
      </w:r>
    </w:p>
    <w:p w14:paraId="1634A696" w14:textId="77777777" w:rsidR="00184DA1" w:rsidRDefault="00184DA1" w:rsidP="00172F2C">
      <w:pPr>
        <w:spacing w:after="0"/>
        <w:rPr>
          <w:rFonts w:cs="Calibri"/>
        </w:rPr>
      </w:pPr>
    </w:p>
    <w:p w14:paraId="4410BE8A" w14:textId="77777777" w:rsidR="004B3E99" w:rsidRDefault="004B3E99" w:rsidP="00172F2C">
      <w:pPr>
        <w:spacing w:after="0"/>
        <w:rPr>
          <w:rFonts w:cs="Calibri"/>
        </w:rPr>
      </w:pPr>
      <w:r>
        <w:rPr>
          <w:rFonts w:cs="Calibri"/>
        </w:rPr>
        <w:t>There are no financial contributions to be made to the PCN by the non-participating practice.</w:t>
      </w:r>
    </w:p>
    <w:p w14:paraId="516A8701" w14:textId="77777777" w:rsidR="004B3E99" w:rsidRDefault="004B3E99" w:rsidP="00172F2C">
      <w:pPr>
        <w:spacing w:after="0"/>
        <w:rPr>
          <w:rFonts w:cs="Calibri"/>
        </w:rPr>
      </w:pPr>
    </w:p>
    <w:p w14:paraId="2781628C" w14:textId="0505080B" w:rsidR="004B3E99" w:rsidRDefault="004B3E99" w:rsidP="00172F2C">
      <w:pPr>
        <w:spacing w:after="0"/>
        <w:rPr>
          <w:rFonts w:cs="Calibri"/>
          <w:b/>
          <w:bCs/>
        </w:rPr>
      </w:pPr>
      <w:r>
        <w:rPr>
          <w:rFonts w:cs="Calibri"/>
          <w:b/>
          <w:bCs/>
        </w:rPr>
        <w:t>Other considerations</w:t>
      </w:r>
    </w:p>
    <w:p w14:paraId="2D1251BC" w14:textId="77777777" w:rsidR="00184DA1" w:rsidRPr="004B3E99" w:rsidRDefault="00184DA1" w:rsidP="00172F2C">
      <w:pPr>
        <w:spacing w:after="0"/>
        <w:rPr>
          <w:rFonts w:cs="Calibri"/>
          <w:b/>
          <w:bCs/>
        </w:rPr>
      </w:pPr>
    </w:p>
    <w:p w14:paraId="29AE669C" w14:textId="2C419E95" w:rsidR="00C264C1" w:rsidRDefault="00890407" w:rsidP="00172F2C">
      <w:pPr>
        <w:spacing w:after="0"/>
        <w:rPr>
          <w:rFonts w:cs="Calibri"/>
        </w:rPr>
      </w:pPr>
      <w:r>
        <w:rPr>
          <w:rFonts w:cs="Calibri"/>
        </w:rPr>
        <w:t>Practices should consider both the expectations of the 2022/23 PCN DES specification, particularly in relation to newer requirements for 2022/23</w:t>
      </w:r>
      <w:r w:rsidR="00184DA1">
        <w:rPr>
          <w:rFonts w:cs="Calibri"/>
        </w:rPr>
        <w:t xml:space="preserve"> and</w:t>
      </w:r>
      <w:r>
        <w:rPr>
          <w:rFonts w:cs="Calibri"/>
        </w:rPr>
        <w:t xml:space="preserve"> the Access Specification to be in place from 1</w:t>
      </w:r>
      <w:r w:rsidRPr="00890407">
        <w:rPr>
          <w:rFonts w:cs="Calibri"/>
          <w:vertAlign w:val="superscript"/>
        </w:rPr>
        <w:t>st</w:t>
      </w:r>
      <w:r>
        <w:rPr>
          <w:rFonts w:cs="Calibri"/>
        </w:rPr>
        <w:t xml:space="preserve"> October 2022, as well as </w:t>
      </w:r>
      <w:proofErr w:type="gramStart"/>
      <w:r>
        <w:rPr>
          <w:rFonts w:cs="Calibri"/>
        </w:rPr>
        <w:t>other</w:t>
      </w:r>
      <w:proofErr w:type="gramEnd"/>
      <w:r>
        <w:rPr>
          <w:rFonts w:cs="Calibri"/>
        </w:rPr>
        <w:t xml:space="preserve"> ongoing workload.</w:t>
      </w:r>
    </w:p>
    <w:p w14:paraId="22A328AB" w14:textId="77777777" w:rsidR="00890407" w:rsidRDefault="00890407" w:rsidP="00172F2C">
      <w:pPr>
        <w:spacing w:after="0"/>
        <w:rPr>
          <w:rFonts w:cs="Calibri"/>
        </w:rPr>
      </w:pPr>
    </w:p>
    <w:p w14:paraId="685BF239" w14:textId="3D8330D5" w:rsidR="00890407" w:rsidRDefault="00890407" w:rsidP="00172F2C">
      <w:pPr>
        <w:spacing w:after="0"/>
        <w:rPr>
          <w:rFonts w:cs="Calibri"/>
        </w:rPr>
      </w:pPr>
      <w:r>
        <w:rPr>
          <w:rFonts w:cs="Calibri"/>
        </w:rPr>
        <w:t>Current arrangements in relation to the ARRAS personnel have allowed a significant increase in PCN deployed patient</w:t>
      </w:r>
      <w:r w:rsidR="00677664">
        <w:rPr>
          <w:rFonts w:cs="Calibri"/>
        </w:rPr>
        <w:t>-</w:t>
      </w:r>
      <w:r>
        <w:rPr>
          <w:rFonts w:cs="Calibri"/>
        </w:rPr>
        <w:t xml:space="preserve">facing practitioners </w:t>
      </w:r>
      <w:proofErr w:type="gramStart"/>
      <w:r>
        <w:rPr>
          <w:rFonts w:cs="Calibri"/>
        </w:rPr>
        <w:t>which</w:t>
      </w:r>
      <w:proofErr w:type="gramEnd"/>
      <w:r>
        <w:rPr>
          <w:rFonts w:cs="Calibri"/>
        </w:rPr>
        <w:t xml:space="preserve"> h</w:t>
      </w:r>
      <w:r w:rsidR="00677664">
        <w:rPr>
          <w:rFonts w:cs="Calibri"/>
        </w:rPr>
        <w:t>a</w:t>
      </w:r>
      <w:r>
        <w:rPr>
          <w:rFonts w:cs="Calibri"/>
        </w:rPr>
        <w:t>s been an opportunity to support practice patient care workload</w:t>
      </w:r>
      <w:r w:rsidR="00677664">
        <w:rPr>
          <w:rFonts w:cs="Calibri"/>
        </w:rPr>
        <w:t xml:space="preserve">.   </w:t>
      </w:r>
      <w:r>
        <w:rPr>
          <w:rFonts w:cs="Calibri"/>
        </w:rPr>
        <w:t xml:space="preserve">It has also however created a </w:t>
      </w:r>
      <w:r w:rsidR="00677664">
        <w:rPr>
          <w:rFonts w:cs="Calibri"/>
        </w:rPr>
        <w:t>significant</w:t>
      </w:r>
      <w:r>
        <w:rPr>
          <w:rFonts w:cs="Calibri"/>
        </w:rPr>
        <w:t xml:space="preserve"> additional, </w:t>
      </w:r>
      <w:proofErr w:type="spellStart"/>
      <w:r>
        <w:rPr>
          <w:rFonts w:cs="Calibri"/>
        </w:rPr>
        <w:t>unresourced</w:t>
      </w:r>
      <w:proofErr w:type="spellEnd"/>
      <w:r>
        <w:rPr>
          <w:rFonts w:cs="Calibri"/>
        </w:rPr>
        <w:t xml:space="preserve">, workload for many GPs without proper arrangements for supervision and oversight. </w:t>
      </w:r>
      <w:r w:rsidR="00677664">
        <w:rPr>
          <w:rFonts w:cs="Calibri"/>
        </w:rPr>
        <w:t xml:space="preserve"> </w:t>
      </w:r>
      <w:r>
        <w:rPr>
          <w:rFonts w:cs="Calibri"/>
        </w:rPr>
        <w:t xml:space="preserve">It </w:t>
      </w:r>
      <w:r w:rsidR="002B3E38">
        <w:rPr>
          <w:rFonts w:cs="Calibri"/>
        </w:rPr>
        <w:t>remain</w:t>
      </w:r>
      <w:r>
        <w:rPr>
          <w:rFonts w:cs="Calibri"/>
        </w:rPr>
        <w:t xml:space="preserve">s challenging that ARRS remuneration is not being incorporated into Global Sum.  </w:t>
      </w:r>
    </w:p>
    <w:p w14:paraId="2A686733" w14:textId="77777777" w:rsidR="00890407" w:rsidRDefault="00890407" w:rsidP="00172F2C">
      <w:pPr>
        <w:spacing w:after="0"/>
        <w:rPr>
          <w:rFonts w:cs="Calibri"/>
        </w:rPr>
      </w:pPr>
    </w:p>
    <w:p w14:paraId="734BA265" w14:textId="324D1F6B" w:rsidR="00890407" w:rsidRPr="0012732D" w:rsidRDefault="00662E82" w:rsidP="00172F2C">
      <w:pPr>
        <w:spacing w:after="0"/>
        <w:rPr>
          <w:rFonts w:cs="Calibri"/>
        </w:rPr>
      </w:pPr>
      <w:r>
        <w:rPr>
          <w:rFonts w:cs="Calibri"/>
        </w:rPr>
        <w:t>I hope this guidance is helpful</w:t>
      </w:r>
      <w:r w:rsidR="00F6408B">
        <w:rPr>
          <w:rFonts w:cs="Calibri"/>
        </w:rPr>
        <w:t>; please contact the LMC if there are any queries.</w:t>
      </w:r>
    </w:p>
    <w:p w14:paraId="37A1F121" w14:textId="77777777" w:rsidR="00172F2C" w:rsidRPr="009059DA" w:rsidRDefault="00172F2C" w:rsidP="00172F2C">
      <w:pPr>
        <w:spacing w:after="0"/>
        <w:rPr>
          <w:rFonts w:cs="Calibri"/>
        </w:rPr>
      </w:pPr>
    </w:p>
    <w:p w14:paraId="5AAC6351" w14:textId="77777777" w:rsidR="00201D6C" w:rsidRDefault="00201D6C" w:rsidP="00EE5A06">
      <w:pPr>
        <w:spacing w:after="0"/>
        <w:rPr>
          <w:rFonts w:cs="Calibri"/>
        </w:rPr>
      </w:pPr>
    </w:p>
    <w:p w14:paraId="35687421" w14:textId="77777777" w:rsidR="00CB78CC" w:rsidRDefault="00CB78CC" w:rsidP="00CB78CC">
      <w:pPr>
        <w:spacing w:after="0" w:line="240" w:lineRule="auto"/>
        <w:rPr>
          <w:rFonts w:ascii="Bliss 2 Light" w:hAnsi="Bliss 2 Light"/>
          <w:sz w:val="24"/>
          <w:szCs w:val="24"/>
        </w:rPr>
      </w:pPr>
      <w:r>
        <w:rPr>
          <w:rFonts w:ascii="Bliss 2 Light" w:hAnsi="Bliss 2 Light"/>
          <w:sz w:val="24"/>
          <w:szCs w:val="24"/>
        </w:rPr>
        <w:t>With best wishes</w:t>
      </w:r>
    </w:p>
    <w:p w14:paraId="033BE770" w14:textId="77777777" w:rsidR="00CB78CC" w:rsidRDefault="00CB78CC" w:rsidP="00CB78CC">
      <w:pPr>
        <w:spacing w:after="0" w:line="240" w:lineRule="auto"/>
        <w:rPr>
          <w:rFonts w:ascii="Bliss 2 Light" w:hAnsi="Bliss 2 Light"/>
          <w:sz w:val="24"/>
          <w:szCs w:val="24"/>
        </w:rPr>
      </w:pPr>
    </w:p>
    <w:p w14:paraId="2C2A782C" w14:textId="77777777" w:rsidR="00CB78CC" w:rsidRDefault="00CB78CC" w:rsidP="00CB78CC">
      <w:pPr>
        <w:spacing w:after="0" w:line="240" w:lineRule="auto"/>
        <w:rPr>
          <w:rFonts w:ascii="Bliss 2 Light" w:hAnsi="Bliss 2 Light"/>
          <w:sz w:val="24"/>
          <w:szCs w:val="24"/>
        </w:rPr>
      </w:pPr>
    </w:p>
    <w:p w14:paraId="74510A92" w14:textId="39F2E7FE" w:rsidR="00CB78CC" w:rsidRDefault="005A15D6" w:rsidP="00CB78CC">
      <w:pPr>
        <w:spacing w:after="0" w:line="240" w:lineRule="auto"/>
        <w:rPr>
          <w:rFonts w:ascii="Bliss 2 Light" w:hAnsi="Bliss 2 Light"/>
          <w:sz w:val="24"/>
          <w:szCs w:val="24"/>
        </w:rPr>
      </w:pPr>
      <w:r w:rsidRPr="009B3B22">
        <w:rPr>
          <w:noProof/>
          <w:lang w:eastAsia="en-GB"/>
        </w:rPr>
        <w:drawing>
          <wp:inline distT="0" distB="0" distL="0" distR="0" wp14:anchorId="6C038C45" wp14:editId="6D3C3610">
            <wp:extent cx="1643380" cy="1104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3380" cy="1104900"/>
                    </a:xfrm>
                    <a:prstGeom prst="rect">
                      <a:avLst/>
                    </a:prstGeom>
                    <a:noFill/>
                    <a:ln>
                      <a:noFill/>
                    </a:ln>
                  </pic:spPr>
                </pic:pic>
              </a:graphicData>
            </a:graphic>
          </wp:inline>
        </w:drawing>
      </w:r>
    </w:p>
    <w:p w14:paraId="640F8B08" w14:textId="77777777" w:rsidR="00CB78CC" w:rsidRDefault="00CB78CC" w:rsidP="00CB78CC">
      <w:pPr>
        <w:spacing w:after="0" w:line="240" w:lineRule="auto"/>
        <w:rPr>
          <w:rFonts w:ascii="Bliss 2 Light" w:hAnsi="Bliss 2 Light"/>
          <w:sz w:val="24"/>
          <w:szCs w:val="24"/>
        </w:rPr>
      </w:pPr>
    </w:p>
    <w:p w14:paraId="4355A5D2" w14:textId="77777777" w:rsidR="00CB78CC" w:rsidRDefault="00CB78CC" w:rsidP="00CB78CC">
      <w:pPr>
        <w:spacing w:after="0" w:line="240" w:lineRule="auto"/>
        <w:rPr>
          <w:rFonts w:ascii="Bliss 2 Light" w:hAnsi="Bliss 2 Light"/>
          <w:sz w:val="24"/>
          <w:szCs w:val="24"/>
        </w:rPr>
      </w:pPr>
    </w:p>
    <w:p w14:paraId="47C7430E" w14:textId="77777777" w:rsidR="00CB78CC" w:rsidRDefault="00CB78CC" w:rsidP="00CB78CC">
      <w:pPr>
        <w:spacing w:after="0" w:line="240" w:lineRule="auto"/>
        <w:rPr>
          <w:rFonts w:ascii="Bliss 2 Light" w:hAnsi="Bliss 2 Light"/>
          <w:sz w:val="24"/>
          <w:szCs w:val="24"/>
        </w:rPr>
      </w:pPr>
      <w:r>
        <w:rPr>
          <w:rFonts w:ascii="Bliss 2 Light" w:hAnsi="Bliss 2 Light"/>
          <w:sz w:val="24"/>
          <w:szCs w:val="24"/>
        </w:rPr>
        <w:t>Dr Julius Parker</w:t>
      </w:r>
    </w:p>
    <w:p w14:paraId="42643ACA" w14:textId="77777777" w:rsidR="00CB78CC" w:rsidRPr="001A0B68" w:rsidRDefault="00CB78CC" w:rsidP="00CB78CC">
      <w:pPr>
        <w:spacing w:after="0" w:line="240" w:lineRule="auto"/>
        <w:rPr>
          <w:rFonts w:ascii="Bliss 2 Light" w:hAnsi="Bliss 2 Light"/>
          <w:b/>
          <w:bCs/>
          <w:sz w:val="24"/>
          <w:szCs w:val="24"/>
        </w:rPr>
      </w:pPr>
      <w:r>
        <w:rPr>
          <w:rFonts w:ascii="Bliss 2 Light" w:hAnsi="Bliss 2 Light"/>
          <w:b/>
          <w:bCs/>
          <w:sz w:val="24"/>
          <w:szCs w:val="24"/>
        </w:rPr>
        <w:t>Chief Executive</w:t>
      </w:r>
    </w:p>
    <w:p w14:paraId="1A3034E5" w14:textId="77777777" w:rsidR="00EE5A06" w:rsidRPr="00475CAF" w:rsidRDefault="00EE5A06" w:rsidP="00EE5A06">
      <w:pPr>
        <w:rPr>
          <w:b/>
          <w:bCs/>
        </w:rPr>
      </w:pPr>
    </w:p>
    <w:p w14:paraId="466A030B" w14:textId="77777777" w:rsidR="000C27C0" w:rsidRDefault="000C27C0" w:rsidP="00CE61DA"/>
    <w:sectPr w:rsidR="000C27C0" w:rsidSect="00475CAF">
      <w:footerReference w:type="default" r:id="rId9"/>
      <w:headerReference w:type="first" r:id="rId10"/>
      <w:footerReference w:type="first" r:id="rId11"/>
      <w:pgSz w:w="11906" w:h="16838"/>
      <w:pgMar w:top="964" w:right="1247" w:bottom="1134" w:left="156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0317F" w14:textId="77777777" w:rsidR="009C6073" w:rsidRDefault="009C6073" w:rsidP="00D01AA4">
      <w:pPr>
        <w:spacing w:after="0" w:line="240" w:lineRule="auto"/>
      </w:pPr>
      <w:r>
        <w:separator/>
      </w:r>
    </w:p>
  </w:endnote>
  <w:endnote w:type="continuationSeparator" w:id="0">
    <w:p w14:paraId="3F5F2A77" w14:textId="77777777" w:rsidR="009C6073" w:rsidRDefault="009C6073" w:rsidP="00D0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iss 2 Light">
    <w:altName w:val="Calibri"/>
    <w:panose1 w:val="02000506030000020004"/>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82F3" w14:textId="77777777" w:rsidR="000F5A2D" w:rsidRDefault="000F5A2D">
    <w:pPr>
      <w:pStyle w:val="Footer"/>
      <w:jc w:val="center"/>
    </w:pPr>
    <w:r>
      <w:fldChar w:fldCharType="begin"/>
    </w:r>
    <w:r>
      <w:instrText xml:space="preserve"> PAGE   \* MERGEFORMAT </w:instrText>
    </w:r>
    <w:r>
      <w:fldChar w:fldCharType="separate"/>
    </w:r>
    <w:r>
      <w:rPr>
        <w:noProof/>
      </w:rPr>
      <w:t>2</w:t>
    </w:r>
    <w:r>
      <w:rPr>
        <w:noProof/>
      </w:rPr>
      <w:fldChar w:fldCharType="end"/>
    </w:r>
  </w:p>
  <w:p w14:paraId="1FBA7ABF" w14:textId="77777777" w:rsidR="000F5A2D" w:rsidRDefault="000F5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2" w:type="dxa"/>
      <w:tblLook w:val="04A0" w:firstRow="1" w:lastRow="0" w:firstColumn="1" w:lastColumn="0" w:noHBand="0" w:noVBand="1"/>
    </w:tblPr>
    <w:tblGrid>
      <w:gridCol w:w="7230"/>
      <w:gridCol w:w="1559"/>
      <w:gridCol w:w="1863"/>
    </w:tblGrid>
    <w:tr w:rsidR="00D01AA4" w:rsidRPr="00F307B6" w14:paraId="756FA0CB" w14:textId="77777777" w:rsidTr="00F307B6">
      <w:tc>
        <w:tcPr>
          <w:tcW w:w="7230" w:type="dxa"/>
          <w:shd w:val="clear" w:color="auto" w:fill="auto"/>
        </w:tcPr>
        <w:p w14:paraId="08CD7B97" w14:textId="77777777" w:rsidR="00D01AA4" w:rsidRPr="00F307B6" w:rsidRDefault="00D01AA4">
          <w:pPr>
            <w:pStyle w:val="Footer"/>
            <w:rPr>
              <w:color w:val="808080"/>
              <w:sz w:val="18"/>
              <w:szCs w:val="18"/>
            </w:rPr>
          </w:pPr>
        </w:p>
      </w:tc>
      <w:tc>
        <w:tcPr>
          <w:tcW w:w="3422" w:type="dxa"/>
          <w:gridSpan w:val="2"/>
          <w:shd w:val="clear" w:color="auto" w:fill="auto"/>
        </w:tcPr>
        <w:p w14:paraId="4E0AFC23" w14:textId="77777777" w:rsidR="00D01AA4" w:rsidRPr="00F307B6" w:rsidRDefault="00D01AA4">
          <w:pPr>
            <w:pStyle w:val="Footer"/>
            <w:rPr>
              <w:color w:val="808080"/>
              <w:sz w:val="18"/>
              <w:szCs w:val="18"/>
            </w:rPr>
          </w:pPr>
          <w:r w:rsidRPr="00F307B6">
            <w:rPr>
              <w:color w:val="808080"/>
              <w:sz w:val="18"/>
              <w:szCs w:val="18"/>
            </w:rPr>
            <w:t>Local Medical Committees for</w:t>
          </w:r>
        </w:p>
        <w:p w14:paraId="1677B1F8" w14:textId="77777777" w:rsidR="00D01AA4" w:rsidRPr="00F307B6" w:rsidRDefault="00D01AA4">
          <w:pPr>
            <w:pStyle w:val="Footer"/>
            <w:rPr>
              <w:color w:val="808080"/>
              <w:sz w:val="18"/>
              <w:szCs w:val="18"/>
            </w:rPr>
          </w:pPr>
          <w:r w:rsidRPr="00F307B6">
            <w:rPr>
              <w:color w:val="808080"/>
              <w:sz w:val="18"/>
              <w:szCs w:val="18"/>
            </w:rPr>
            <w:t xml:space="preserve">Croydon, Kingston &amp; Richmond, Surrey, East </w:t>
          </w:r>
          <w:proofErr w:type="gramStart"/>
          <w:r w:rsidRPr="00F307B6">
            <w:rPr>
              <w:color w:val="808080"/>
              <w:sz w:val="18"/>
              <w:szCs w:val="18"/>
            </w:rPr>
            <w:t>Sussex</w:t>
          </w:r>
          <w:proofErr w:type="gramEnd"/>
          <w:r w:rsidRPr="00F307B6">
            <w:rPr>
              <w:color w:val="808080"/>
              <w:sz w:val="18"/>
              <w:szCs w:val="18"/>
            </w:rPr>
            <w:t xml:space="preserve"> and West Sussex</w:t>
          </w:r>
        </w:p>
        <w:p w14:paraId="08F3361D" w14:textId="77777777" w:rsidR="00D01AA4" w:rsidRPr="00F307B6" w:rsidRDefault="00D01AA4">
          <w:pPr>
            <w:pStyle w:val="Footer"/>
            <w:rPr>
              <w:color w:val="808080"/>
              <w:sz w:val="18"/>
              <w:szCs w:val="18"/>
            </w:rPr>
          </w:pPr>
        </w:p>
      </w:tc>
    </w:tr>
    <w:tr w:rsidR="00D01AA4" w:rsidRPr="00F307B6" w14:paraId="3BD6D4E4" w14:textId="77777777" w:rsidTr="00F307B6">
      <w:tc>
        <w:tcPr>
          <w:tcW w:w="7230" w:type="dxa"/>
          <w:shd w:val="clear" w:color="auto" w:fill="auto"/>
        </w:tcPr>
        <w:p w14:paraId="567876AB" w14:textId="77777777" w:rsidR="00D01AA4" w:rsidRPr="00F307B6" w:rsidRDefault="00D01AA4">
          <w:pPr>
            <w:pStyle w:val="Footer"/>
            <w:rPr>
              <w:color w:val="808080"/>
              <w:sz w:val="18"/>
              <w:szCs w:val="18"/>
            </w:rPr>
          </w:pPr>
        </w:p>
      </w:tc>
      <w:tc>
        <w:tcPr>
          <w:tcW w:w="1559" w:type="dxa"/>
          <w:shd w:val="clear" w:color="auto" w:fill="auto"/>
        </w:tcPr>
        <w:p w14:paraId="666D5FC0" w14:textId="77777777" w:rsidR="00D01AA4" w:rsidRPr="00F307B6" w:rsidRDefault="00D01AA4">
          <w:pPr>
            <w:pStyle w:val="Footer"/>
            <w:rPr>
              <w:color w:val="808080"/>
              <w:sz w:val="18"/>
              <w:szCs w:val="18"/>
            </w:rPr>
          </w:pPr>
          <w:r w:rsidRPr="00F307B6">
            <w:rPr>
              <w:color w:val="808080"/>
              <w:sz w:val="18"/>
              <w:szCs w:val="18"/>
            </w:rPr>
            <w:t>The White House</w:t>
          </w:r>
        </w:p>
        <w:p w14:paraId="0CFF3C98" w14:textId="77777777" w:rsidR="00D01AA4" w:rsidRPr="00F307B6" w:rsidRDefault="00D01AA4">
          <w:pPr>
            <w:pStyle w:val="Footer"/>
            <w:rPr>
              <w:color w:val="808080"/>
              <w:sz w:val="18"/>
              <w:szCs w:val="18"/>
            </w:rPr>
          </w:pPr>
          <w:r w:rsidRPr="00F307B6">
            <w:rPr>
              <w:color w:val="808080"/>
              <w:sz w:val="18"/>
              <w:szCs w:val="18"/>
            </w:rPr>
            <w:t>18 Church Road</w:t>
          </w:r>
        </w:p>
        <w:p w14:paraId="36C43FA7" w14:textId="77777777" w:rsidR="00D01AA4" w:rsidRPr="00F307B6" w:rsidRDefault="00D01AA4">
          <w:pPr>
            <w:pStyle w:val="Footer"/>
            <w:rPr>
              <w:color w:val="808080"/>
              <w:sz w:val="18"/>
              <w:szCs w:val="18"/>
            </w:rPr>
          </w:pPr>
          <w:r w:rsidRPr="00F307B6">
            <w:rPr>
              <w:color w:val="808080"/>
              <w:sz w:val="18"/>
              <w:szCs w:val="18"/>
            </w:rPr>
            <w:t>Leatherhead</w:t>
          </w:r>
        </w:p>
        <w:p w14:paraId="21CAB87F" w14:textId="77777777" w:rsidR="00D01AA4" w:rsidRPr="00F307B6" w:rsidRDefault="00D01AA4">
          <w:pPr>
            <w:pStyle w:val="Footer"/>
            <w:rPr>
              <w:color w:val="808080"/>
              <w:sz w:val="18"/>
              <w:szCs w:val="18"/>
            </w:rPr>
          </w:pPr>
          <w:r w:rsidRPr="00F307B6">
            <w:rPr>
              <w:color w:val="808080"/>
              <w:sz w:val="18"/>
              <w:szCs w:val="18"/>
            </w:rPr>
            <w:t>Surrey KT22 8BB</w:t>
          </w:r>
        </w:p>
      </w:tc>
      <w:tc>
        <w:tcPr>
          <w:tcW w:w="1863" w:type="dxa"/>
          <w:shd w:val="clear" w:color="auto" w:fill="auto"/>
        </w:tcPr>
        <w:p w14:paraId="791496E8" w14:textId="77777777" w:rsidR="00D01AA4" w:rsidRPr="00F307B6" w:rsidRDefault="00D01AA4">
          <w:pPr>
            <w:pStyle w:val="Footer"/>
            <w:rPr>
              <w:color w:val="808080"/>
              <w:sz w:val="18"/>
              <w:szCs w:val="18"/>
            </w:rPr>
          </w:pPr>
          <w:r w:rsidRPr="00F307B6">
            <w:rPr>
              <w:b/>
              <w:bCs/>
              <w:color w:val="808080"/>
              <w:sz w:val="18"/>
              <w:szCs w:val="18"/>
            </w:rPr>
            <w:t>T:</w:t>
          </w:r>
          <w:r w:rsidRPr="00F307B6">
            <w:rPr>
              <w:color w:val="808080"/>
              <w:sz w:val="18"/>
              <w:szCs w:val="18"/>
            </w:rPr>
            <w:t xml:space="preserve"> 01372 389270</w:t>
          </w:r>
        </w:p>
        <w:p w14:paraId="25EE3A05" w14:textId="77777777" w:rsidR="00D01AA4" w:rsidRPr="00F307B6" w:rsidRDefault="00D01AA4">
          <w:pPr>
            <w:pStyle w:val="Footer"/>
            <w:rPr>
              <w:color w:val="808080"/>
              <w:sz w:val="18"/>
              <w:szCs w:val="18"/>
            </w:rPr>
          </w:pPr>
          <w:r w:rsidRPr="00F307B6">
            <w:rPr>
              <w:b/>
              <w:bCs/>
              <w:color w:val="808080"/>
              <w:sz w:val="18"/>
              <w:szCs w:val="18"/>
            </w:rPr>
            <w:t>F:</w:t>
          </w:r>
          <w:r w:rsidRPr="00F307B6">
            <w:rPr>
              <w:color w:val="808080"/>
              <w:sz w:val="18"/>
              <w:szCs w:val="18"/>
            </w:rPr>
            <w:t xml:space="preserve"> 01372 389271</w:t>
          </w:r>
        </w:p>
        <w:p w14:paraId="3F348F7C" w14:textId="77777777" w:rsidR="00D01AA4" w:rsidRPr="00F307B6" w:rsidRDefault="00D01AA4">
          <w:pPr>
            <w:pStyle w:val="Footer"/>
            <w:rPr>
              <w:color w:val="808080"/>
              <w:sz w:val="18"/>
              <w:szCs w:val="18"/>
            </w:rPr>
          </w:pPr>
        </w:p>
        <w:p w14:paraId="5E714E54" w14:textId="77777777" w:rsidR="00D01AA4" w:rsidRPr="00F307B6" w:rsidRDefault="00D01AA4">
          <w:pPr>
            <w:pStyle w:val="Footer"/>
            <w:rPr>
              <w:b/>
              <w:bCs/>
              <w:color w:val="808080"/>
              <w:sz w:val="18"/>
              <w:szCs w:val="18"/>
            </w:rPr>
          </w:pPr>
          <w:r w:rsidRPr="00F307B6">
            <w:rPr>
              <w:b/>
              <w:bCs/>
              <w:color w:val="808080"/>
              <w:sz w:val="18"/>
              <w:szCs w:val="18"/>
            </w:rPr>
            <w:t>www.sslmcs.co.uk</w:t>
          </w:r>
        </w:p>
      </w:tc>
    </w:tr>
    <w:tr w:rsidR="00D01AA4" w:rsidRPr="00F307B6" w14:paraId="47351F1A" w14:textId="77777777" w:rsidTr="00F307B6">
      <w:tc>
        <w:tcPr>
          <w:tcW w:w="7230" w:type="dxa"/>
          <w:shd w:val="clear" w:color="auto" w:fill="auto"/>
        </w:tcPr>
        <w:p w14:paraId="3BB209A4" w14:textId="77777777" w:rsidR="00D01AA4" w:rsidRPr="00F307B6" w:rsidRDefault="00D01AA4">
          <w:pPr>
            <w:pStyle w:val="Footer"/>
            <w:rPr>
              <w:color w:val="808080"/>
              <w:sz w:val="18"/>
              <w:szCs w:val="18"/>
            </w:rPr>
          </w:pPr>
        </w:p>
        <w:p w14:paraId="3828B81D" w14:textId="77777777" w:rsidR="00D01AA4" w:rsidRPr="00F307B6" w:rsidRDefault="00D01AA4">
          <w:pPr>
            <w:pStyle w:val="Footer"/>
            <w:rPr>
              <w:color w:val="004D4D"/>
              <w:sz w:val="18"/>
              <w:szCs w:val="18"/>
            </w:rPr>
          </w:pPr>
          <w:r w:rsidRPr="00F307B6">
            <w:rPr>
              <w:color w:val="004D4D"/>
              <w:sz w:val="18"/>
              <w:szCs w:val="18"/>
            </w:rPr>
            <w:t xml:space="preserve">Supporting and </w:t>
          </w:r>
          <w:proofErr w:type="gramStart"/>
          <w:r w:rsidRPr="00F307B6">
            <w:rPr>
              <w:color w:val="004D4D"/>
              <w:sz w:val="18"/>
              <w:szCs w:val="18"/>
            </w:rPr>
            <w:t>Representing</w:t>
          </w:r>
          <w:proofErr w:type="gramEnd"/>
          <w:r w:rsidRPr="00F307B6">
            <w:rPr>
              <w:color w:val="004D4D"/>
              <w:sz w:val="18"/>
              <w:szCs w:val="18"/>
            </w:rPr>
            <w:t xml:space="preserve"> all local NHS General Practitioners</w:t>
          </w:r>
        </w:p>
      </w:tc>
      <w:tc>
        <w:tcPr>
          <w:tcW w:w="3422" w:type="dxa"/>
          <w:gridSpan w:val="2"/>
          <w:shd w:val="clear" w:color="auto" w:fill="auto"/>
        </w:tcPr>
        <w:p w14:paraId="0D2BFAB8" w14:textId="77777777" w:rsidR="00D01AA4" w:rsidRPr="00F307B6" w:rsidRDefault="00D01AA4">
          <w:pPr>
            <w:pStyle w:val="Footer"/>
            <w:rPr>
              <w:color w:val="808080"/>
              <w:sz w:val="18"/>
              <w:szCs w:val="18"/>
            </w:rPr>
          </w:pPr>
        </w:p>
        <w:p w14:paraId="6B3E1193" w14:textId="77777777" w:rsidR="00D01AA4" w:rsidRPr="00F307B6" w:rsidRDefault="00D01AA4">
          <w:pPr>
            <w:pStyle w:val="Footer"/>
            <w:rPr>
              <w:b/>
              <w:bCs/>
              <w:color w:val="808080"/>
              <w:sz w:val="18"/>
              <w:szCs w:val="18"/>
            </w:rPr>
          </w:pPr>
          <w:r w:rsidRPr="00F307B6">
            <w:rPr>
              <w:b/>
              <w:bCs/>
              <w:color w:val="808080"/>
              <w:sz w:val="18"/>
              <w:szCs w:val="18"/>
            </w:rPr>
            <w:t>Chief Executive: Dr Julius Parker</w:t>
          </w:r>
        </w:p>
      </w:tc>
    </w:tr>
  </w:tbl>
  <w:p w14:paraId="5BF6F518" w14:textId="77777777" w:rsidR="00D01AA4" w:rsidRDefault="00D01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E73F7" w14:textId="77777777" w:rsidR="009C6073" w:rsidRDefault="009C6073" w:rsidP="00D01AA4">
      <w:pPr>
        <w:spacing w:after="0" w:line="240" w:lineRule="auto"/>
      </w:pPr>
      <w:r>
        <w:separator/>
      </w:r>
    </w:p>
  </w:footnote>
  <w:footnote w:type="continuationSeparator" w:id="0">
    <w:p w14:paraId="2B4828B5" w14:textId="77777777" w:rsidR="009C6073" w:rsidRDefault="009C6073" w:rsidP="00D01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1B59" w14:textId="11D24D86" w:rsidR="00D01AA4" w:rsidRDefault="005A15D6">
    <w:pPr>
      <w:pStyle w:val="Header"/>
    </w:pPr>
    <w:r>
      <w:rPr>
        <w:noProof/>
      </w:rPr>
      <w:drawing>
        <wp:anchor distT="0" distB="0" distL="114300" distR="114300" simplePos="0" relativeHeight="251657728" behindDoc="1" locked="0" layoutInCell="1" allowOverlap="1" wp14:anchorId="257D2B57" wp14:editId="3154807F">
          <wp:simplePos x="0" y="0"/>
          <wp:positionH relativeFrom="column">
            <wp:posOffset>4114800</wp:posOffset>
          </wp:positionH>
          <wp:positionV relativeFrom="paragraph">
            <wp:posOffset>-116205</wp:posOffset>
          </wp:positionV>
          <wp:extent cx="2200275" cy="800100"/>
          <wp:effectExtent l="0" t="0" r="0" b="0"/>
          <wp:wrapSquare wrapText="bothSides"/>
          <wp:docPr id="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538"/>
    <w:multiLevelType w:val="hybridMultilevel"/>
    <w:tmpl w:val="361A1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44783"/>
    <w:multiLevelType w:val="hybridMultilevel"/>
    <w:tmpl w:val="44FC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FB3DD3"/>
    <w:multiLevelType w:val="hybridMultilevel"/>
    <w:tmpl w:val="10D660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A4"/>
    <w:rsid w:val="00005D21"/>
    <w:rsid w:val="00035B7C"/>
    <w:rsid w:val="00050B94"/>
    <w:rsid w:val="000614E0"/>
    <w:rsid w:val="000C0188"/>
    <w:rsid w:val="000C27C0"/>
    <w:rsid w:val="000D6640"/>
    <w:rsid w:val="000F5A2D"/>
    <w:rsid w:val="0012732D"/>
    <w:rsid w:val="00172F2C"/>
    <w:rsid w:val="00184DA1"/>
    <w:rsid w:val="001F5519"/>
    <w:rsid w:val="00201D6C"/>
    <w:rsid w:val="002129E6"/>
    <w:rsid w:val="002240C4"/>
    <w:rsid w:val="00252D41"/>
    <w:rsid w:val="00263889"/>
    <w:rsid w:val="0027683F"/>
    <w:rsid w:val="00287074"/>
    <w:rsid w:val="002A169D"/>
    <w:rsid w:val="002B3E38"/>
    <w:rsid w:val="002C257C"/>
    <w:rsid w:val="00363725"/>
    <w:rsid w:val="00365F37"/>
    <w:rsid w:val="003D02D6"/>
    <w:rsid w:val="003E3DE2"/>
    <w:rsid w:val="00413512"/>
    <w:rsid w:val="00475CAF"/>
    <w:rsid w:val="00485E0F"/>
    <w:rsid w:val="00486C71"/>
    <w:rsid w:val="004B3E99"/>
    <w:rsid w:val="004C56EC"/>
    <w:rsid w:val="004D38BB"/>
    <w:rsid w:val="004D48C0"/>
    <w:rsid w:val="005479C7"/>
    <w:rsid w:val="00552FC4"/>
    <w:rsid w:val="00563CF6"/>
    <w:rsid w:val="005A15D6"/>
    <w:rsid w:val="005B7036"/>
    <w:rsid w:val="005D5678"/>
    <w:rsid w:val="005D778E"/>
    <w:rsid w:val="005F177F"/>
    <w:rsid w:val="006531B4"/>
    <w:rsid w:val="00662E82"/>
    <w:rsid w:val="00677664"/>
    <w:rsid w:val="00707D1D"/>
    <w:rsid w:val="00711E74"/>
    <w:rsid w:val="00731084"/>
    <w:rsid w:val="007775E7"/>
    <w:rsid w:val="0078208C"/>
    <w:rsid w:val="007C145D"/>
    <w:rsid w:val="0085042B"/>
    <w:rsid w:val="00890407"/>
    <w:rsid w:val="00890B81"/>
    <w:rsid w:val="008B7D7C"/>
    <w:rsid w:val="009046B6"/>
    <w:rsid w:val="009059DA"/>
    <w:rsid w:val="00913AF1"/>
    <w:rsid w:val="009C6073"/>
    <w:rsid w:val="009D3723"/>
    <w:rsid w:val="00A0397D"/>
    <w:rsid w:val="00A95833"/>
    <w:rsid w:val="00AE66CE"/>
    <w:rsid w:val="00AF2FAB"/>
    <w:rsid w:val="00B02A0C"/>
    <w:rsid w:val="00B034FA"/>
    <w:rsid w:val="00B142BD"/>
    <w:rsid w:val="00BB4E5E"/>
    <w:rsid w:val="00BF36E7"/>
    <w:rsid w:val="00C2399E"/>
    <w:rsid w:val="00C264C1"/>
    <w:rsid w:val="00C4405A"/>
    <w:rsid w:val="00C47607"/>
    <w:rsid w:val="00C62773"/>
    <w:rsid w:val="00C74B62"/>
    <w:rsid w:val="00CA3241"/>
    <w:rsid w:val="00CB2D0A"/>
    <w:rsid w:val="00CB78CC"/>
    <w:rsid w:val="00CD1148"/>
    <w:rsid w:val="00CE134D"/>
    <w:rsid w:val="00CE61DA"/>
    <w:rsid w:val="00CF68D8"/>
    <w:rsid w:val="00D01AA4"/>
    <w:rsid w:val="00D26A56"/>
    <w:rsid w:val="00D46609"/>
    <w:rsid w:val="00E14149"/>
    <w:rsid w:val="00E17A85"/>
    <w:rsid w:val="00E2144C"/>
    <w:rsid w:val="00E45794"/>
    <w:rsid w:val="00E64139"/>
    <w:rsid w:val="00E64C24"/>
    <w:rsid w:val="00EA179A"/>
    <w:rsid w:val="00EA4F6C"/>
    <w:rsid w:val="00EB611D"/>
    <w:rsid w:val="00EC7261"/>
    <w:rsid w:val="00EE2888"/>
    <w:rsid w:val="00EE5A06"/>
    <w:rsid w:val="00F307B6"/>
    <w:rsid w:val="00F40FCB"/>
    <w:rsid w:val="00F51DC4"/>
    <w:rsid w:val="00F6408B"/>
    <w:rsid w:val="00FE6AB5"/>
    <w:rsid w:val="00FF2171"/>
    <w:rsid w:val="00FF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6AF0E"/>
  <w15:docId w15:val="{AB839BFB-A074-4F5B-90E5-552570EB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AA4"/>
  </w:style>
  <w:style w:type="paragraph" w:styleId="Footer">
    <w:name w:val="footer"/>
    <w:basedOn w:val="Normal"/>
    <w:link w:val="FooterChar"/>
    <w:uiPriority w:val="99"/>
    <w:unhideWhenUsed/>
    <w:rsid w:val="00D01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AA4"/>
  </w:style>
  <w:style w:type="table" w:styleId="TableGrid">
    <w:name w:val="Table Grid"/>
    <w:basedOn w:val="TableNormal"/>
    <w:uiPriority w:val="39"/>
    <w:rsid w:val="00D01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86C71"/>
    <w:rPr>
      <w:color w:val="0563C1"/>
      <w:u w:val="single"/>
    </w:rPr>
  </w:style>
  <w:style w:type="character" w:customStyle="1" w:styleId="lrzxr">
    <w:name w:val="lrzxr"/>
    <w:basedOn w:val="DefaultParagraphFont"/>
    <w:rsid w:val="00EE5A06"/>
  </w:style>
  <w:style w:type="character" w:styleId="UnresolvedMention">
    <w:name w:val="Unresolved Mention"/>
    <w:uiPriority w:val="99"/>
    <w:semiHidden/>
    <w:unhideWhenUsed/>
    <w:rsid w:val="00E14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81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ma.org.uk/advice-and-support/gp-practices/managing-workload/safe-working-in-general-pract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Parsons\Dropbox%20(SSLMCs)\Company%20Shared%20Folder\PM%20Liaison%20Officer\06.%20Practice%20Manager%20Guidance%20&amp;%20Useful%20Information\LM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LMC letterhead</Template>
  <TotalTime>3</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Links>
    <vt:vector size="6" baseType="variant">
      <vt:variant>
        <vt:i4>5439562</vt:i4>
      </vt:variant>
      <vt:variant>
        <vt:i4>0</vt:i4>
      </vt:variant>
      <vt:variant>
        <vt:i4>0</vt:i4>
      </vt:variant>
      <vt:variant>
        <vt:i4>5</vt:i4>
      </vt:variant>
      <vt:variant>
        <vt:lpwstr>https://www.bma.org.uk/advice-and-support/gp-practices/managing-workload/safe-working-in-general-practice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Parsons</dc:creator>
  <cp:keywords/>
  <dc:description/>
  <cp:lastModifiedBy>Sandra Rodbourne</cp:lastModifiedBy>
  <cp:revision>2</cp:revision>
  <cp:lastPrinted>2022-03-23T16:39:00Z</cp:lastPrinted>
  <dcterms:created xsi:type="dcterms:W3CDTF">2022-03-28T14:33:00Z</dcterms:created>
  <dcterms:modified xsi:type="dcterms:W3CDTF">2022-03-28T14:33:00Z</dcterms:modified>
</cp:coreProperties>
</file>