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C256" w14:textId="1A3436F7" w:rsidR="000C27C0" w:rsidRDefault="000C27C0" w:rsidP="007C3FE0">
      <w:pPr>
        <w:spacing w:after="0" w:line="240" w:lineRule="auto"/>
        <w:rPr>
          <w:rFonts w:ascii="Bliss 2 Light" w:hAnsi="Bliss 2 Light"/>
          <w:sz w:val="24"/>
          <w:szCs w:val="24"/>
        </w:rPr>
      </w:pPr>
    </w:p>
    <w:p w14:paraId="602D7413" w14:textId="76D42D53" w:rsidR="007C3FE0" w:rsidRDefault="007C3FE0" w:rsidP="007C3FE0">
      <w:pPr>
        <w:spacing w:after="0" w:line="240" w:lineRule="auto"/>
        <w:rPr>
          <w:rFonts w:ascii="Bliss 2 Light" w:hAnsi="Bliss 2 Light"/>
          <w:b/>
          <w:bCs/>
          <w:sz w:val="24"/>
          <w:szCs w:val="24"/>
        </w:rPr>
      </w:pPr>
      <w:r>
        <w:rPr>
          <w:rFonts w:ascii="Bliss 2 Light" w:hAnsi="Bliss 2 Light"/>
          <w:b/>
          <w:bCs/>
          <w:sz w:val="24"/>
          <w:szCs w:val="24"/>
        </w:rPr>
        <w:t>To all practices Surrey &amp; Sussex LMCs</w:t>
      </w:r>
    </w:p>
    <w:p w14:paraId="44DBB02E" w14:textId="3B02A542" w:rsidR="007C3FE0" w:rsidRDefault="007C3FE0" w:rsidP="007C3FE0">
      <w:pPr>
        <w:spacing w:after="0" w:line="240" w:lineRule="auto"/>
        <w:rPr>
          <w:rFonts w:ascii="Bliss 2 Light" w:hAnsi="Bliss 2 Light"/>
          <w:b/>
          <w:bCs/>
          <w:sz w:val="24"/>
          <w:szCs w:val="24"/>
        </w:rPr>
      </w:pPr>
    </w:p>
    <w:p w14:paraId="6F8AB8EE" w14:textId="486D4B94" w:rsidR="007C3FE0" w:rsidRDefault="007C3FE0" w:rsidP="007C3FE0">
      <w:pPr>
        <w:spacing w:after="0" w:line="240" w:lineRule="auto"/>
        <w:jc w:val="right"/>
        <w:rPr>
          <w:rFonts w:ascii="Bliss 2 Light" w:hAnsi="Bliss 2 Light"/>
          <w:sz w:val="24"/>
          <w:szCs w:val="24"/>
        </w:rPr>
      </w:pPr>
      <w:r>
        <w:rPr>
          <w:rFonts w:ascii="Bliss 2 Light" w:hAnsi="Bliss 2 Light"/>
          <w:sz w:val="24"/>
          <w:szCs w:val="24"/>
        </w:rPr>
        <w:t>1</w:t>
      </w:r>
      <w:r w:rsidR="007C150E">
        <w:rPr>
          <w:rFonts w:ascii="Bliss 2 Light" w:hAnsi="Bliss 2 Light"/>
          <w:sz w:val="24"/>
          <w:szCs w:val="24"/>
        </w:rPr>
        <w:t>7</w:t>
      </w:r>
      <w:r w:rsidRPr="007C3FE0">
        <w:rPr>
          <w:rFonts w:ascii="Bliss 2 Light" w:hAnsi="Bliss 2 Light"/>
          <w:sz w:val="24"/>
          <w:szCs w:val="24"/>
          <w:vertAlign w:val="superscript"/>
        </w:rPr>
        <w:t>th</w:t>
      </w:r>
      <w:r>
        <w:rPr>
          <w:rFonts w:ascii="Bliss 2 Light" w:hAnsi="Bliss 2 Light"/>
          <w:sz w:val="24"/>
          <w:szCs w:val="24"/>
        </w:rPr>
        <w:t xml:space="preserve"> January 2022</w:t>
      </w:r>
    </w:p>
    <w:p w14:paraId="37EFEB26" w14:textId="0A1CE687" w:rsidR="007C3FE0" w:rsidRDefault="007C3FE0" w:rsidP="007C3FE0">
      <w:pPr>
        <w:spacing w:after="0" w:line="240" w:lineRule="auto"/>
        <w:jc w:val="right"/>
        <w:rPr>
          <w:rFonts w:ascii="Bliss 2 Light" w:hAnsi="Bliss 2 Light"/>
          <w:sz w:val="24"/>
          <w:szCs w:val="24"/>
        </w:rPr>
      </w:pPr>
    </w:p>
    <w:p w14:paraId="11C474BB" w14:textId="39AC62B6" w:rsidR="007C3FE0" w:rsidRDefault="007C3FE0" w:rsidP="007C3FE0">
      <w:pPr>
        <w:spacing w:after="0" w:line="240" w:lineRule="auto"/>
        <w:rPr>
          <w:rFonts w:ascii="Bliss 2 Light" w:hAnsi="Bliss 2 Light"/>
          <w:sz w:val="24"/>
          <w:szCs w:val="24"/>
        </w:rPr>
      </w:pPr>
      <w:r>
        <w:rPr>
          <w:rFonts w:ascii="Bliss 2 Light" w:hAnsi="Bliss 2 Light"/>
          <w:sz w:val="24"/>
          <w:szCs w:val="24"/>
        </w:rPr>
        <w:t>Dear Colleagues</w:t>
      </w:r>
    </w:p>
    <w:p w14:paraId="2553BF81" w14:textId="18E6741C" w:rsidR="007C3FE0" w:rsidRPr="006231F8" w:rsidRDefault="007C3FE0" w:rsidP="007C3FE0">
      <w:pPr>
        <w:spacing w:after="0" w:line="240" w:lineRule="auto"/>
        <w:rPr>
          <w:rFonts w:ascii="Bliss 2 Light" w:hAnsi="Bliss 2 Light"/>
          <w:sz w:val="28"/>
          <w:szCs w:val="28"/>
        </w:rPr>
      </w:pPr>
    </w:p>
    <w:p w14:paraId="5C010B25" w14:textId="4F9BD58F" w:rsidR="007C3FE0" w:rsidRPr="006231F8" w:rsidRDefault="007C3FE0" w:rsidP="007C3FE0">
      <w:pPr>
        <w:spacing w:after="0" w:line="240" w:lineRule="auto"/>
        <w:rPr>
          <w:rFonts w:ascii="Bliss 2 Light" w:hAnsi="Bliss 2 Light"/>
          <w:b/>
          <w:bCs/>
          <w:sz w:val="28"/>
          <w:szCs w:val="28"/>
        </w:rPr>
      </w:pPr>
      <w:r w:rsidRPr="006231F8">
        <w:rPr>
          <w:rFonts w:ascii="Bliss 2 Light" w:hAnsi="Bliss 2 Light"/>
          <w:b/>
          <w:bCs/>
          <w:sz w:val="28"/>
          <w:szCs w:val="28"/>
        </w:rPr>
        <w:t>Vaccination as a Condition of Deployment [VCOD] for Healthcare Workers: Update</w:t>
      </w:r>
    </w:p>
    <w:p w14:paraId="285CA318" w14:textId="04E9A8E3" w:rsidR="007C3FE0" w:rsidRDefault="007C3FE0" w:rsidP="007C3FE0">
      <w:pPr>
        <w:spacing w:after="0" w:line="240" w:lineRule="auto"/>
        <w:rPr>
          <w:rFonts w:ascii="Bliss 2 Light" w:hAnsi="Bliss 2 Light"/>
          <w:b/>
          <w:bCs/>
          <w:sz w:val="24"/>
          <w:szCs w:val="24"/>
        </w:rPr>
      </w:pPr>
    </w:p>
    <w:p w14:paraId="1300C5CA" w14:textId="60AC07A7" w:rsidR="007C3FE0" w:rsidRDefault="007C3FE0" w:rsidP="007C3FE0">
      <w:pPr>
        <w:spacing w:after="0" w:line="240" w:lineRule="auto"/>
        <w:rPr>
          <w:rFonts w:ascii="Bliss 2 Light" w:hAnsi="Bliss 2 Light"/>
          <w:sz w:val="24"/>
          <w:szCs w:val="24"/>
        </w:rPr>
      </w:pPr>
      <w:r>
        <w:rPr>
          <w:rFonts w:ascii="Bliss 2 Light" w:hAnsi="Bliss 2 Light"/>
          <w:sz w:val="24"/>
          <w:szCs w:val="24"/>
        </w:rPr>
        <w:t xml:space="preserve">Alongside many other LMCs, SSLMC is seeing an increased number of enquiries from practices regarding the planned regulatory requirement for many of those working within the NHS to have received (unless medically exempt) a </w:t>
      </w:r>
      <w:r w:rsidR="00280B00">
        <w:rPr>
          <w:rFonts w:ascii="Bliss 2 Light" w:hAnsi="Bliss 2 Light"/>
          <w:sz w:val="24"/>
          <w:szCs w:val="24"/>
        </w:rPr>
        <w:t>recognised course of Covid19 vaccination</w:t>
      </w:r>
      <w:r w:rsidR="000E1E88">
        <w:rPr>
          <w:rFonts w:ascii="Bliss 2 Light" w:hAnsi="Bliss 2 Light"/>
          <w:sz w:val="24"/>
          <w:szCs w:val="24"/>
        </w:rPr>
        <w:t xml:space="preserve"> currently this does not include a booster.</w:t>
      </w:r>
    </w:p>
    <w:p w14:paraId="7202D847" w14:textId="72300092" w:rsidR="00280B00" w:rsidRDefault="00280B00" w:rsidP="007C3FE0">
      <w:pPr>
        <w:spacing w:after="0" w:line="240" w:lineRule="auto"/>
        <w:rPr>
          <w:rFonts w:ascii="Bliss 2 Light" w:hAnsi="Bliss 2 Light"/>
          <w:sz w:val="24"/>
          <w:szCs w:val="24"/>
        </w:rPr>
      </w:pPr>
    </w:p>
    <w:p w14:paraId="3692C6B8" w14:textId="2BC8E366" w:rsidR="00280B00" w:rsidRDefault="00280B00" w:rsidP="007C3FE0">
      <w:pPr>
        <w:spacing w:after="0" w:line="240" w:lineRule="auto"/>
        <w:rPr>
          <w:rFonts w:ascii="Bliss 2 Light" w:hAnsi="Bliss 2 Light"/>
          <w:sz w:val="24"/>
          <w:szCs w:val="24"/>
        </w:rPr>
      </w:pPr>
      <w:r>
        <w:rPr>
          <w:rFonts w:ascii="Bliss 2 Light" w:hAnsi="Bliss 2 Light"/>
          <w:sz w:val="24"/>
          <w:szCs w:val="24"/>
        </w:rPr>
        <w:t>The LMC wrote to all practices on 13</w:t>
      </w:r>
      <w:r w:rsidRPr="00280B00">
        <w:rPr>
          <w:rFonts w:ascii="Bliss 2 Light" w:hAnsi="Bliss 2 Light"/>
          <w:sz w:val="24"/>
          <w:szCs w:val="24"/>
          <w:vertAlign w:val="superscript"/>
        </w:rPr>
        <w:t>th</w:t>
      </w:r>
      <w:r>
        <w:rPr>
          <w:rFonts w:ascii="Bliss 2 Light" w:hAnsi="Bliss 2 Light"/>
          <w:sz w:val="24"/>
          <w:szCs w:val="24"/>
        </w:rPr>
        <w:t xml:space="preserve"> December 2021 highlighting NHS England’s “Phase 1: planning and preparation </w:t>
      </w:r>
      <w:r w:rsidR="007C1055">
        <w:rPr>
          <w:rFonts w:ascii="Bliss 2 Light" w:hAnsi="Bliss 2 Light"/>
          <w:sz w:val="24"/>
          <w:szCs w:val="24"/>
        </w:rPr>
        <w:t>“guidance</w:t>
      </w:r>
      <w:r>
        <w:rPr>
          <w:rFonts w:ascii="Bliss 2 Light" w:hAnsi="Bliss 2 Light"/>
          <w:sz w:val="24"/>
          <w:szCs w:val="24"/>
        </w:rPr>
        <w:t xml:space="preserve"> [6</w:t>
      </w:r>
      <w:r w:rsidRPr="00280B00">
        <w:rPr>
          <w:rFonts w:ascii="Bliss 2 Light" w:hAnsi="Bliss 2 Light"/>
          <w:sz w:val="24"/>
          <w:szCs w:val="24"/>
          <w:vertAlign w:val="superscript"/>
        </w:rPr>
        <w:t>th</w:t>
      </w:r>
      <w:r>
        <w:rPr>
          <w:rFonts w:ascii="Bliss 2 Light" w:hAnsi="Bliss 2 Light"/>
          <w:sz w:val="24"/>
          <w:szCs w:val="24"/>
        </w:rPr>
        <w:t xml:space="preserve"> December 2021 Publication Reference C1470] and </w:t>
      </w:r>
      <w:proofErr w:type="gramStart"/>
      <w:r>
        <w:rPr>
          <w:rFonts w:ascii="Bliss 2 Light" w:hAnsi="Bliss 2 Light"/>
          <w:sz w:val="24"/>
          <w:szCs w:val="24"/>
        </w:rPr>
        <w:t>in particular noted</w:t>
      </w:r>
      <w:proofErr w:type="gramEnd"/>
      <w:r>
        <w:rPr>
          <w:rFonts w:ascii="Bliss 2 Light" w:hAnsi="Bliss 2 Light"/>
          <w:sz w:val="24"/>
          <w:szCs w:val="24"/>
        </w:rPr>
        <w:t xml:space="preserve"> the flowchart [Appendix 1] which describes which colleagues will be in scope.</w:t>
      </w:r>
    </w:p>
    <w:p w14:paraId="63EB1BD8" w14:textId="4D981C36" w:rsidR="00280B00" w:rsidRDefault="00280B00" w:rsidP="007C3FE0">
      <w:pPr>
        <w:spacing w:after="0" w:line="240" w:lineRule="auto"/>
        <w:rPr>
          <w:rFonts w:ascii="Bliss 2 Light" w:hAnsi="Bliss 2 Light"/>
          <w:sz w:val="24"/>
          <w:szCs w:val="24"/>
        </w:rPr>
      </w:pPr>
    </w:p>
    <w:p w14:paraId="5F7F2F4A" w14:textId="7553A267" w:rsidR="00280B00" w:rsidRDefault="00280B00" w:rsidP="007C3FE0">
      <w:pPr>
        <w:spacing w:after="0" w:line="240" w:lineRule="auto"/>
        <w:rPr>
          <w:rFonts w:ascii="Bliss 2 Light" w:hAnsi="Bliss 2 Light"/>
          <w:sz w:val="24"/>
          <w:szCs w:val="24"/>
        </w:rPr>
      </w:pPr>
      <w:r>
        <w:rPr>
          <w:rFonts w:ascii="Bliss 2 Light" w:hAnsi="Bliss 2 Light"/>
          <w:sz w:val="24"/>
          <w:szCs w:val="24"/>
        </w:rPr>
        <w:t xml:space="preserve">The fuller description taken from that document is as </w:t>
      </w:r>
      <w:r w:rsidR="007C1055">
        <w:rPr>
          <w:rFonts w:ascii="Bliss 2 Light" w:hAnsi="Bliss 2 Light"/>
          <w:sz w:val="24"/>
          <w:szCs w:val="24"/>
        </w:rPr>
        <w:t>below: -</w:t>
      </w:r>
    </w:p>
    <w:p w14:paraId="4A2FA9A3" w14:textId="218BA995" w:rsidR="00280B00" w:rsidRDefault="00280B00" w:rsidP="007C3FE0">
      <w:pPr>
        <w:spacing w:after="0" w:line="240" w:lineRule="auto"/>
        <w:rPr>
          <w:rFonts w:ascii="Bliss 2 Light" w:hAnsi="Bliss 2 Light"/>
          <w:sz w:val="24"/>
          <w:szCs w:val="24"/>
        </w:rPr>
      </w:pPr>
    </w:p>
    <w:p w14:paraId="50739307" w14:textId="77777777" w:rsidR="00F457C7" w:rsidRPr="00F457C7" w:rsidRDefault="00F457C7" w:rsidP="00807CA5">
      <w:pPr>
        <w:spacing w:after="0" w:line="240" w:lineRule="auto"/>
        <w:ind w:left="720"/>
        <w:rPr>
          <w:rFonts w:ascii="Bliss 2 Light" w:hAnsi="Bliss 2 Light"/>
          <w:i/>
          <w:iCs/>
          <w:sz w:val="24"/>
          <w:szCs w:val="24"/>
        </w:rPr>
      </w:pPr>
      <w:r w:rsidRPr="00F457C7">
        <w:rPr>
          <w:rFonts w:ascii="Bliss 2 Light" w:hAnsi="Bliss 2 Light"/>
          <w:i/>
          <w:iCs/>
          <w:sz w:val="24"/>
          <w:szCs w:val="24"/>
        </w:rPr>
        <w:t xml:space="preserve">Who is in scope of the regulation? </w:t>
      </w:r>
    </w:p>
    <w:p w14:paraId="7CDC58C5" w14:textId="77777777" w:rsidR="00F457C7" w:rsidRPr="00F457C7" w:rsidRDefault="00F457C7" w:rsidP="00807CA5">
      <w:pPr>
        <w:spacing w:after="0" w:line="240" w:lineRule="auto"/>
        <w:ind w:left="720"/>
        <w:rPr>
          <w:rFonts w:ascii="Bliss 2 Light" w:hAnsi="Bliss 2 Light"/>
          <w:i/>
          <w:iCs/>
          <w:sz w:val="24"/>
          <w:szCs w:val="24"/>
        </w:rPr>
      </w:pPr>
    </w:p>
    <w:p w14:paraId="2C46669E" w14:textId="77777777" w:rsidR="00F457C7" w:rsidRPr="00F457C7" w:rsidRDefault="00F457C7" w:rsidP="00807CA5">
      <w:pPr>
        <w:spacing w:after="0" w:line="240" w:lineRule="auto"/>
        <w:ind w:left="720"/>
        <w:rPr>
          <w:rFonts w:ascii="Bliss 2 Light" w:hAnsi="Bliss 2 Light"/>
          <w:i/>
          <w:iCs/>
          <w:sz w:val="24"/>
          <w:szCs w:val="24"/>
        </w:rPr>
      </w:pPr>
      <w:r w:rsidRPr="00F457C7">
        <w:rPr>
          <w:rFonts w:ascii="Bliss 2 Light" w:hAnsi="Bliss 2 Light"/>
          <w:i/>
          <w:iCs/>
          <w:sz w:val="24"/>
          <w:szCs w:val="24"/>
        </w:rPr>
        <w:t xml:space="preserve">Workers who have face-to-face contact with patients and/or service users and who are deployed as part of CQC regulated activity </w:t>
      </w:r>
    </w:p>
    <w:p w14:paraId="23DB885A" w14:textId="77777777" w:rsidR="00F457C7" w:rsidRPr="00F457C7" w:rsidRDefault="00F457C7" w:rsidP="00807CA5">
      <w:pPr>
        <w:spacing w:after="0" w:line="240" w:lineRule="auto"/>
        <w:ind w:left="720"/>
        <w:rPr>
          <w:rFonts w:ascii="Bliss 2 Light" w:hAnsi="Bliss 2 Light"/>
          <w:i/>
          <w:iCs/>
          <w:sz w:val="24"/>
          <w:szCs w:val="24"/>
        </w:rPr>
      </w:pPr>
    </w:p>
    <w:p w14:paraId="380AAD14" w14:textId="0FA24DDA" w:rsidR="00F457C7" w:rsidRPr="00F457C7" w:rsidRDefault="00F457C7" w:rsidP="00807CA5">
      <w:pPr>
        <w:spacing w:after="0" w:line="240" w:lineRule="auto"/>
        <w:ind w:left="720"/>
        <w:rPr>
          <w:rFonts w:ascii="Bliss 2 Light" w:hAnsi="Bliss 2 Light"/>
          <w:i/>
          <w:iCs/>
          <w:sz w:val="24"/>
          <w:szCs w:val="24"/>
        </w:rPr>
      </w:pPr>
      <w:r w:rsidRPr="00F457C7">
        <w:rPr>
          <w:rFonts w:ascii="Bliss 2 Light" w:hAnsi="Bliss 2 Light"/>
          <w:i/>
          <w:iCs/>
          <w:sz w:val="24"/>
          <w:szCs w:val="24"/>
        </w:rPr>
        <w:t>The regulations apply to health and social care workers who are deployed in respect of a CQC regulated activity, who have direct, face-to-face contact with service users. This include individuals working in non-clinical ancillary roles who enter areas which are utilised for the provision of a CQC-regulated activity as part of their role and who may have social contact with patients, but not directly involved in patient care (</w:t>
      </w:r>
      <w:r w:rsidR="001D6DE9" w:rsidRPr="00F457C7">
        <w:rPr>
          <w:rFonts w:ascii="Bliss 2 Light" w:hAnsi="Bliss 2 Light"/>
          <w:i/>
          <w:iCs/>
          <w:sz w:val="24"/>
          <w:szCs w:val="24"/>
        </w:rPr>
        <w:t>e.g.,</w:t>
      </w:r>
      <w:r w:rsidRPr="00F457C7">
        <w:rPr>
          <w:rFonts w:ascii="Bliss 2 Light" w:hAnsi="Bliss 2 Light"/>
          <w:i/>
          <w:iCs/>
          <w:sz w:val="24"/>
          <w:szCs w:val="24"/>
        </w:rPr>
        <w:t xml:space="preserve"> receptionists, ward clerks, porters, and cleaners), regardless of contracted hours or working arrangements. All honorary, voluntary, locum, bank and agency workers, independent contractors, students/trainees over 18, and any other temporary workers are also in scope6</w:t>
      </w:r>
    </w:p>
    <w:p w14:paraId="0C9E9D94" w14:textId="77777777" w:rsidR="00F457C7" w:rsidRPr="00F457C7" w:rsidRDefault="00F457C7" w:rsidP="00807CA5">
      <w:pPr>
        <w:spacing w:after="0" w:line="240" w:lineRule="auto"/>
        <w:ind w:left="720"/>
        <w:rPr>
          <w:rFonts w:ascii="Bliss 2 Light" w:hAnsi="Bliss 2 Light"/>
          <w:i/>
          <w:iCs/>
          <w:sz w:val="24"/>
          <w:szCs w:val="24"/>
        </w:rPr>
      </w:pPr>
      <w:r w:rsidRPr="00F457C7">
        <w:rPr>
          <w:rFonts w:ascii="Bliss 2 Light" w:hAnsi="Bliss 2 Light"/>
          <w:i/>
          <w:iCs/>
          <w:sz w:val="24"/>
          <w:szCs w:val="24"/>
        </w:rPr>
        <w:t>.</w:t>
      </w:r>
    </w:p>
    <w:p w14:paraId="3C0FEAEB" w14:textId="4275B7D0" w:rsidR="00F457C7" w:rsidRPr="00F457C7" w:rsidRDefault="00F457C7" w:rsidP="00807CA5">
      <w:pPr>
        <w:spacing w:after="0" w:line="240" w:lineRule="auto"/>
        <w:ind w:left="720"/>
        <w:rPr>
          <w:rFonts w:ascii="Bliss 2 Light" w:hAnsi="Bliss 2 Light"/>
          <w:i/>
          <w:iCs/>
          <w:sz w:val="24"/>
          <w:szCs w:val="24"/>
        </w:rPr>
      </w:pPr>
      <w:r w:rsidRPr="00F457C7">
        <w:rPr>
          <w:rFonts w:ascii="Bliss 2 Light" w:hAnsi="Bliss 2 Light"/>
          <w:i/>
          <w:iCs/>
          <w:sz w:val="24"/>
          <w:szCs w:val="24"/>
        </w:rPr>
        <w:t xml:space="preserve">The requirements would not apply to those employed, or otherwise engaged, in the provision of a CQC regulated activity if they do not have direct face to face contact with patients and/or services users/patients. For example, those providing care remotely, such as through triage or telephone consultations or those in managerial roles working on sites separate from patient areas would not have direct face to face contact and so registered persons could continue to deploy them in those roles as usual. People on long term absence from work, such as maternity, shared parental leave or sickness absence, would not be in scope unless and until they return to having any </w:t>
      </w:r>
      <w:r w:rsidR="001D6DE9" w:rsidRPr="00F457C7">
        <w:rPr>
          <w:rFonts w:ascii="Bliss 2 Light" w:hAnsi="Bliss 2 Light"/>
          <w:i/>
          <w:iCs/>
          <w:sz w:val="24"/>
          <w:szCs w:val="24"/>
        </w:rPr>
        <w:t>face-to-face</w:t>
      </w:r>
      <w:r w:rsidRPr="00F457C7">
        <w:rPr>
          <w:rFonts w:ascii="Bliss 2 Light" w:hAnsi="Bliss 2 Light"/>
          <w:i/>
          <w:iCs/>
          <w:sz w:val="24"/>
          <w:szCs w:val="24"/>
        </w:rPr>
        <w:t xml:space="preserve"> contact (which would include on one off </w:t>
      </w:r>
      <w:proofErr w:type="gramStart"/>
      <w:r w:rsidRPr="00F457C7">
        <w:rPr>
          <w:rFonts w:ascii="Bliss 2 Light" w:hAnsi="Bliss 2 Light"/>
          <w:i/>
          <w:iCs/>
          <w:sz w:val="24"/>
          <w:szCs w:val="24"/>
        </w:rPr>
        <w:t>visits</w:t>
      </w:r>
      <w:proofErr w:type="gramEnd"/>
      <w:r w:rsidRPr="00F457C7">
        <w:rPr>
          <w:rFonts w:ascii="Bliss 2 Light" w:hAnsi="Bliss 2 Light"/>
          <w:i/>
          <w:iCs/>
          <w:sz w:val="24"/>
          <w:szCs w:val="24"/>
        </w:rPr>
        <w:t xml:space="preserve"> such as Keeping in Touch (KIT) days).</w:t>
      </w:r>
    </w:p>
    <w:p w14:paraId="49B3FD08" w14:textId="77777777" w:rsidR="00F457C7" w:rsidRPr="00F457C7" w:rsidRDefault="00F457C7" w:rsidP="00F457C7">
      <w:pPr>
        <w:spacing w:after="0" w:line="240" w:lineRule="auto"/>
        <w:rPr>
          <w:rFonts w:ascii="Bliss 2 Light" w:hAnsi="Bliss 2 Light"/>
          <w:sz w:val="24"/>
          <w:szCs w:val="24"/>
        </w:rPr>
      </w:pPr>
    </w:p>
    <w:p w14:paraId="2706312F" w14:textId="58057833" w:rsidR="00280B00" w:rsidRDefault="00280B00" w:rsidP="007C3FE0">
      <w:pPr>
        <w:spacing w:after="0" w:line="240" w:lineRule="auto"/>
        <w:rPr>
          <w:rFonts w:ascii="Bliss 2 Light" w:hAnsi="Bliss 2 Light"/>
          <w:sz w:val="24"/>
          <w:szCs w:val="24"/>
        </w:rPr>
      </w:pPr>
      <w:r>
        <w:rPr>
          <w:rFonts w:ascii="Bliss 2 Light" w:hAnsi="Bliss 2 Light"/>
          <w:sz w:val="24"/>
          <w:szCs w:val="24"/>
        </w:rPr>
        <w:t xml:space="preserve">It is clear, depending on the interpretation of what work practice staff do, and what the phrase “enter areas which are utilised for the provision of a CQC regulated activity as part of their role” actually means, </w:t>
      </w:r>
      <w:r>
        <w:rPr>
          <w:rFonts w:ascii="Bliss 2 Light" w:hAnsi="Bliss 2 Light"/>
          <w:sz w:val="24"/>
          <w:szCs w:val="24"/>
        </w:rPr>
        <w:lastRenderedPageBreak/>
        <w:t xml:space="preserve">the proportion of practice staff that will be required to be vaccinated could in many cases extend </w:t>
      </w:r>
      <w:proofErr w:type="gramStart"/>
      <w:r>
        <w:rPr>
          <w:rFonts w:ascii="Bliss 2 Light" w:hAnsi="Bliss 2 Light"/>
          <w:sz w:val="24"/>
          <w:szCs w:val="24"/>
        </w:rPr>
        <w:t>to</w:t>
      </w:r>
      <w:proofErr w:type="gramEnd"/>
      <w:r>
        <w:rPr>
          <w:rFonts w:ascii="Bliss 2 Light" w:hAnsi="Bliss 2 Light"/>
          <w:sz w:val="24"/>
          <w:szCs w:val="24"/>
        </w:rPr>
        <w:t xml:space="preserve"> almost everyone.</w:t>
      </w:r>
    </w:p>
    <w:p w14:paraId="64E1134B" w14:textId="77777777" w:rsidR="006231F8" w:rsidRDefault="006231F8" w:rsidP="007C3FE0">
      <w:pPr>
        <w:spacing w:after="0" w:line="240" w:lineRule="auto"/>
        <w:rPr>
          <w:rFonts w:ascii="Bliss 2 Light" w:hAnsi="Bliss 2 Light"/>
          <w:sz w:val="24"/>
          <w:szCs w:val="24"/>
        </w:rPr>
      </w:pPr>
    </w:p>
    <w:p w14:paraId="448359A5" w14:textId="00733227" w:rsidR="00931265" w:rsidRDefault="00931265" w:rsidP="007C3FE0">
      <w:pPr>
        <w:spacing w:after="0" w:line="240" w:lineRule="auto"/>
        <w:rPr>
          <w:rFonts w:ascii="Bliss 2 Light" w:hAnsi="Bliss 2 Light"/>
          <w:sz w:val="24"/>
          <w:szCs w:val="24"/>
        </w:rPr>
      </w:pPr>
      <w:r>
        <w:rPr>
          <w:rFonts w:ascii="Bliss 2 Light" w:hAnsi="Bliss 2 Light"/>
          <w:sz w:val="24"/>
          <w:szCs w:val="24"/>
        </w:rPr>
        <w:t>There is also a FAQ, available at:</w:t>
      </w:r>
    </w:p>
    <w:p w14:paraId="5E57AD8D" w14:textId="77777777" w:rsidR="00F37C72" w:rsidRDefault="00F37C72" w:rsidP="007C3FE0">
      <w:pPr>
        <w:spacing w:after="0" w:line="240" w:lineRule="auto"/>
        <w:rPr>
          <w:rFonts w:ascii="Bliss 2 Light" w:hAnsi="Bliss 2 Light"/>
          <w:sz w:val="24"/>
          <w:szCs w:val="24"/>
        </w:rPr>
      </w:pPr>
    </w:p>
    <w:p w14:paraId="7CB901BE" w14:textId="30E70003" w:rsidR="00931265" w:rsidRDefault="00B46ECD" w:rsidP="007C3FE0">
      <w:pPr>
        <w:spacing w:after="0" w:line="240" w:lineRule="auto"/>
        <w:rPr>
          <w:rFonts w:ascii="Bliss 2 Light" w:hAnsi="Bliss 2 Light"/>
          <w:sz w:val="24"/>
          <w:szCs w:val="24"/>
        </w:rPr>
      </w:pPr>
      <w:hyperlink r:id="rId8" w:history="1">
        <w:r w:rsidR="00F37C72" w:rsidRPr="00F37C72">
          <w:rPr>
            <w:rStyle w:val="Hyperlink"/>
            <w:rFonts w:ascii="Bliss 2 Light" w:hAnsi="Bliss 2 Light"/>
            <w:color w:val="0000FF"/>
            <w:sz w:val="24"/>
            <w:szCs w:val="24"/>
          </w:rPr>
          <w:t>C1547-vcod-faqs.pdf (england.nhs.uk)</w:t>
        </w:r>
      </w:hyperlink>
    </w:p>
    <w:p w14:paraId="28F84E94" w14:textId="77777777" w:rsidR="00F37C72" w:rsidRPr="00F37C72" w:rsidRDefault="00F37C72" w:rsidP="007C3FE0">
      <w:pPr>
        <w:spacing w:after="0" w:line="240" w:lineRule="auto"/>
        <w:rPr>
          <w:rFonts w:ascii="Bliss 2 Light" w:hAnsi="Bliss 2 Light"/>
          <w:sz w:val="24"/>
          <w:szCs w:val="24"/>
        </w:rPr>
      </w:pPr>
    </w:p>
    <w:p w14:paraId="652F08D1" w14:textId="4E289F2A" w:rsidR="00931265" w:rsidRDefault="00931265" w:rsidP="007C3FE0">
      <w:pPr>
        <w:spacing w:after="0" w:line="240" w:lineRule="auto"/>
        <w:rPr>
          <w:rFonts w:ascii="Bliss 2 Light" w:hAnsi="Bliss 2 Light"/>
          <w:sz w:val="24"/>
          <w:szCs w:val="24"/>
        </w:rPr>
      </w:pPr>
      <w:r>
        <w:rPr>
          <w:rFonts w:ascii="Bliss 2 Light" w:hAnsi="Bliss 2 Light"/>
          <w:sz w:val="24"/>
          <w:szCs w:val="24"/>
        </w:rPr>
        <w:t>NHS England has now published an updated ‘Phase 2’ Implementation Guidance, available at:</w:t>
      </w:r>
    </w:p>
    <w:p w14:paraId="076EDE5C" w14:textId="14F3C2F3" w:rsidR="00931265" w:rsidRDefault="00931265" w:rsidP="007C3FE0">
      <w:pPr>
        <w:spacing w:after="0" w:line="240" w:lineRule="auto"/>
        <w:rPr>
          <w:rFonts w:ascii="Bliss 2 Light" w:hAnsi="Bliss 2 Light"/>
          <w:sz w:val="24"/>
          <w:szCs w:val="24"/>
        </w:rPr>
      </w:pPr>
    </w:p>
    <w:p w14:paraId="00E5E6FC" w14:textId="77777777" w:rsidR="00F37C72" w:rsidRPr="00F457C7" w:rsidRDefault="00B46ECD" w:rsidP="00F37C72">
      <w:pPr>
        <w:spacing w:after="0" w:line="240" w:lineRule="auto"/>
        <w:rPr>
          <w:rFonts w:ascii="Bliss 2 Light" w:hAnsi="Bliss 2 Light"/>
          <w:sz w:val="24"/>
          <w:szCs w:val="24"/>
        </w:rPr>
      </w:pPr>
      <w:hyperlink r:id="rId9" w:history="1">
        <w:r w:rsidR="00F37C72" w:rsidRPr="00F457C7">
          <w:rPr>
            <w:rStyle w:val="Hyperlink"/>
            <w:rFonts w:ascii="Bliss 2 Light" w:hAnsi="Bliss 2 Light"/>
            <w:color w:val="0000FF"/>
            <w:sz w:val="24"/>
            <w:szCs w:val="24"/>
          </w:rPr>
          <w:t>C1545-update-vcod-for-healthcare-workers-phase-2-implementation.pdf (england.nhs.uk)</w:t>
        </w:r>
      </w:hyperlink>
    </w:p>
    <w:p w14:paraId="0EDAF6B7" w14:textId="77777777" w:rsidR="00F37C72" w:rsidRDefault="00F37C72" w:rsidP="00F37C72">
      <w:pPr>
        <w:spacing w:after="0" w:line="240" w:lineRule="auto"/>
        <w:rPr>
          <w:rFonts w:ascii="Bliss 2 Light" w:hAnsi="Bliss 2 Light"/>
          <w:sz w:val="24"/>
          <w:szCs w:val="24"/>
        </w:rPr>
      </w:pPr>
    </w:p>
    <w:p w14:paraId="352877B8" w14:textId="731A1654" w:rsidR="00931265" w:rsidRDefault="00931265" w:rsidP="007C3FE0">
      <w:pPr>
        <w:spacing w:after="0" w:line="240" w:lineRule="auto"/>
        <w:rPr>
          <w:rFonts w:ascii="Bliss 2 Light" w:hAnsi="Bliss 2 Light"/>
          <w:sz w:val="24"/>
          <w:szCs w:val="24"/>
        </w:rPr>
      </w:pPr>
      <w:r>
        <w:rPr>
          <w:rFonts w:ascii="Bliss 2 Light" w:hAnsi="Bliss 2 Light"/>
          <w:sz w:val="24"/>
          <w:szCs w:val="24"/>
        </w:rPr>
        <w:t>The necessary legislation to require VCOD in relation to CQC regulated activities has now passed into legislation [ Statutory Instrument 2022 No 15] and the original timetable remains in place, this being:</w:t>
      </w:r>
    </w:p>
    <w:p w14:paraId="4AD78C8D" w14:textId="4A37D6C3" w:rsidR="00931265" w:rsidRDefault="00931265" w:rsidP="007C3FE0">
      <w:pPr>
        <w:spacing w:after="0" w:line="240" w:lineRule="auto"/>
        <w:rPr>
          <w:rFonts w:ascii="Bliss 2 Light" w:hAnsi="Bliss 2 Light"/>
          <w:sz w:val="24"/>
          <w:szCs w:val="24"/>
        </w:rPr>
      </w:pPr>
    </w:p>
    <w:p w14:paraId="5B36D300" w14:textId="218B0AA9" w:rsidR="00931265" w:rsidRDefault="00931265" w:rsidP="007C3FE0">
      <w:pPr>
        <w:spacing w:after="0" w:line="240" w:lineRule="auto"/>
        <w:rPr>
          <w:rFonts w:ascii="Bliss 2 Light" w:hAnsi="Bliss 2 Light"/>
          <w:sz w:val="24"/>
          <w:szCs w:val="24"/>
        </w:rPr>
      </w:pPr>
      <w:r>
        <w:rPr>
          <w:rFonts w:ascii="Bliss 2 Light" w:hAnsi="Bliss 2 Light"/>
          <w:sz w:val="24"/>
          <w:szCs w:val="24"/>
        </w:rPr>
        <w:tab/>
      </w:r>
      <w:r>
        <w:rPr>
          <w:rFonts w:ascii="Bliss 2 Light" w:hAnsi="Bliss 2 Light"/>
          <w:b/>
          <w:bCs/>
          <w:sz w:val="24"/>
          <w:szCs w:val="24"/>
        </w:rPr>
        <w:t>6</w:t>
      </w:r>
      <w:r w:rsidRPr="00931265">
        <w:rPr>
          <w:rFonts w:ascii="Bliss 2 Light" w:hAnsi="Bliss 2 Light"/>
          <w:b/>
          <w:bCs/>
          <w:sz w:val="24"/>
          <w:szCs w:val="24"/>
          <w:vertAlign w:val="superscript"/>
        </w:rPr>
        <w:t>th</w:t>
      </w:r>
      <w:r>
        <w:rPr>
          <w:rFonts w:ascii="Bliss 2 Light" w:hAnsi="Bliss 2 Light"/>
          <w:b/>
          <w:bCs/>
          <w:sz w:val="24"/>
          <w:szCs w:val="24"/>
        </w:rPr>
        <w:t xml:space="preserve"> January 2022</w:t>
      </w:r>
      <w:r>
        <w:rPr>
          <w:rFonts w:ascii="Bliss 2 Light" w:hAnsi="Bliss 2 Light"/>
          <w:b/>
          <w:bCs/>
          <w:sz w:val="24"/>
          <w:szCs w:val="24"/>
        </w:rPr>
        <w:tab/>
      </w:r>
      <w:r w:rsidR="001D6DE9">
        <w:rPr>
          <w:rFonts w:ascii="Bliss 2 Light" w:hAnsi="Bliss 2 Light"/>
          <w:sz w:val="24"/>
          <w:szCs w:val="24"/>
        </w:rPr>
        <w:t>12-week</w:t>
      </w:r>
      <w:r>
        <w:rPr>
          <w:rFonts w:ascii="Bliss 2 Light" w:hAnsi="Bliss 2 Light"/>
          <w:sz w:val="24"/>
          <w:szCs w:val="24"/>
        </w:rPr>
        <w:t xml:space="preserve"> grace period begins, following passage of legislation</w:t>
      </w:r>
    </w:p>
    <w:p w14:paraId="00312B84" w14:textId="795F04B2" w:rsidR="00931265" w:rsidRDefault="00931265" w:rsidP="007C3FE0">
      <w:pPr>
        <w:spacing w:after="0" w:line="240" w:lineRule="auto"/>
        <w:rPr>
          <w:rFonts w:ascii="Bliss 2 Light" w:hAnsi="Bliss 2 Light"/>
          <w:sz w:val="24"/>
          <w:szCs w:val="24"/>
        </w:rPr>
      </w:pPr>
    </w:p>
    <w:p w14:paraId="4D442523" w14:textId="06FA5858" w:rsidR="00931265" w:rsidRDefault="00931265" w:rsidP="00931265">
      <w:pPr>
        <w:spacing w:after="0" w:line="240" w:lineRule="auto"/>
        <w:ind w:left="720"/>
        <w:rPr>
          <w:rFonts w:ascii="Bliss 2 Light" w:hAnsi="Bliss 2 Light"/>
          <w:sz w:val="24"/>
          <w:szCs w:val="24"/>
        </w:rPr>
      </w:pPr>
      <w:r>
        <w:rPr>
          <w:rFonts w:ascii="Bliss 2 Light" w:hAnsi="Bliss 2 Light"/>
          <w:b/>
          <w:bCs/>
          <w:sz w:val="24"/>
          <w:szCs w:val="24"/>
        </w:rPr>
        <w:t>3</w:t>
      </w:r>
      <w:r w:rsidRPr="00931265">
        <w:rPr>
          <w:rFonts w:ascii="Bliss 2 Light" w:hAnsi="Bliss 2 Light"/>
          <w:b/>
          <w:bCs/>
          <w:sz w:val="24"/>
          <w:szCs w:val="24"/>
          <w:vertAlign w:val="superscript"/>
        </w:rPr>
        <w:t>rd</w:t>
      </w:r>
      <w:r>
        <w:rPr>
          <w:rFonts w:ascii="Bliss 2 Light" w:hAnsi="Bliss 2 Light"/>
          <w:b/>
          <w:bCs/>
          <w:sz w:val="24"/>
          <w:szCs w:val="24"/>
        </w:rPr>
        <w:t xml:space="preserve"> February 2022</w:t>
      </w:r>
      <w:r>
        <w:rPr>
          <w:rFonts w:ascii="Bliss 2 Light" w:hAnsi="Bliss 2 Light"/>
          <w:b/>
          <w:bCs/>
          <w:sz w:val="24"/>
          <w:szCs w:val="24"/>
        </w:rPr>
        <w:tab/>
      </w:r>
      <w:r>
        <w:rPr>
          <w:rFonts w:ascii="Bliss 2 Light" w:hAnsi="Bliss 2 Light"/>
          <w:sz w:val="24"/>
          <w:szCs w:val="24"/>
        </w:rPr>
        <w:t>currently advised last date for workers to receive their first dose to ensure they are fully vaccinated by:</w:t>
      </w:r>
    </w:p>
    <w:p w14:paraId="2B874A67" w14:textId="003E2797" w:rsidR="00931265" w:rsidRDefault="00931265" w:rsidP="007C3FE0">
      <w:pPr>
        <w:spacing w:after="0" w:line="240" w:lineRule="auto"/>
        <w:rPr>
          <w:rFonts w:ascii="Bliss 2 Light" w:hAnsi="Bliss 2 Light"/>
          <w:sz w:val="24"/>
          <w:szCs w:val="24"/>
        </w:rPr>
      </w:pPr>
    </w:p>
    <w:p w14:paraId="6B817AFC" w14:textId="7D6D9B84" w:rsidR="00931265" w:rsidRPr="004D260C" w:rsidRDefault="00931265" w:rsidP="007C3FE0">
      <w:pPr>
        <w:spacing w:after="0" w:line="240" w:lineRule="auto"/>
        <w:rPr>
          <w:rFonts w:ascii="Bliss 2 Light" w:hAnsi="Bliss 2 Light"/>
          <w:sz w:val="24"/>
          <w:szCs w:val="24"/>
        </w:rPr>
      </w:pPr>
      <w:r>
        <w:rPr>
          <w:rFonts w:ascii="Bliss 2 Light" w:hAnsi="Bliss 2 Light"/>
          <w:sz w:val="24"/>
          <w:szCs w:val="24"/>
        </w:rPr>
        <w:tab/>
      </w:r>
      <w:r>
        <w:rPr>
          <w:rFonts w:ascii="Bliss 2 Light" w:hAnsi="Bliss 2 Light"/>
          <w:b/>
          <w:bCs/>
          <w:sz w:val="24"/>
          <w:szCs w:val="24"/>
        </w:rPr>
        <w:t>1</w:t>
      </w:r>
      <w:r w:rsidRPr="00931265">
        <w:rPr>
          <w:rFonts w:ascii="Bliss 2 Light" w:hAnsi="Bliss 2 Light"/>
          <w:b/>
          <w:bCs/>
          <w:sz w:val="24"/>
          <w:szCs w:val="24"/>
          <w:vertAlign w:val="superscript"/>
        </w:rPr>
        <w:t>st</w:t>
      </w:r>
      <w:r>
        <w:rPr>
          <w:rFonts w:ascii="Bliss 2 Light" w:hAnsi="Bliss 2 Light"/>
          <w:b/>
          <w:bCs/>
          <w:sz w:val="24"/>
          <w:szCs w:val="24"/>
        </w:rPr>
        <w:t xml:space="preserve"> April 2022</w:t>
      </w:r>
      <w:r>
        <w:rPr>
          <w:rFonts w:ascii="Bliss 2 Light" w:hAnsi="Bliss 2 Light"/>
          <w:b/>
          <w:bCs/>
          <w:sz w:val="24"/>
          <w:szCs w:val="24"/>
        </w:rPr>
        <w:tab/>
      </w:r>
      <w:r>
        <w:rPr>
          <w:rFonts w:ascii="Bliss 2 Light" w:hAnsi="Bliss 2 Light"/>
          <w:b/>
          <w:bCs/>
          <w:sz w:val="24"/>
          <w:szCs w:val="24"/>
        </w:rPr>
        <w:tab/>
      </w:r>
      <w:r w:rsidRPr="004D260C">
        <w:rPr>
          <w:rFonts w:ascii="Bliss 2 Light" w:hAnsi="Bliss 2 Light"/>
          <w:sz w:val="24"/>
          <w:szCs w:val="24"/>
        </w:rPr>
        <w:t>the date the Regulations come into force</w:t>
      </w:r>
    </w:p>
    <w:p w14:paraId="70F4120F" w14:textId="5E65B412" w:rsidR="00931265" w:rsidRPr="004D260C" w:rsidRDefault="00931265" w:rsidP="007C3FE0">
      <w:pPr>
        <w:spacing w:after="0" w:line="240" w:lineRule="auto"/>
        <w:rPr>
          <w:rFonts w:ascii="Bliss 2 Light" w:hAnsi="Bliss 2 Light"/>
          <w:sz w:val="24"/>
          <w:szCs w:val="24"/>
        </w:rPr>
      </w:pPr>
    </w:p>
    <w:p w14:paraId="7EBA02A8" w14:textId="6C51E9B0" w:rsidR="00931265" w:rsidRDefault="00931265" w:rsidP="007C3FE0">
      <w:pPr>
        <w:spacing w:after="0" w:line="240" w:lineRule="auto"/>
        <w:rPr>
          <w:rFonts w:ascii="Bliss 2 Light" w:hAnsi="Bliss 2 Light"/>
          <w:sz w:val="24"/>
          <w:szCs w:val="24"/>
        </w:rPr>
      </w:pPr>
      <w:r>
        <w:rPr>
          <w:rFonts w:ascii="Bliss 2 Light" w:hAnsi="Bliss 2 Light"/>
          <w:sz w:val="24"/>
          <w:szCs w:val="24"/>
        </w:rPr>
        <w:t>NHS England has set up a VCOD Workspace on the Future NHS web</w:t>
      </w:r>
      <w:r w:rsidR="00F457C7">
        <w:rPr>
          <w:rFonts w:ascii="Bliss 2 Light" w:hAnsi="Bliss 2 Light"/>
          <w:sz w:val="24"/>
          <w:szCs w:val="24"/>
        </w:rPr>
        <w:t xml:space="preserve"> pl</w:t>
      </w:r>
      <w:r>
        <w:rPr>
          <w:rFonts w:ascii="Bliss 2 Light" w:hAnsi="Bliss 2 Light"/>
          <w:sz w:val="24"/>
          <w:szCs w:val="24"/>
        </w:rPr>
        <w:t xml:space="preserve">atform where guidance and </w:t>
      </w:r>
      <w:r w:rsidR="000E1E88">
        <w:rPr>
          <w:rFonts w:ascii="Bliss 2 Light" w:hAnsi="Bliss 2 Light"/>
          <w:sz w:val="24"/>
          <w:szCs w:val="24"/>
        </w:rPr>
        <w:t xml:space="preserve">other </w:t>
      </w:r>
      <w:r>
        <w:rPr>
          <w:rFonts w:ascii="Bliss 2 Light" w:hAnsi="Bliss 2 Light"/>
          <w:sz w:val="24"/>
          <w:szCs w:val="24"/>
        </w:rPr>
        <w:t xml:space="preserve">highlighted </w:t>
      </w:r>
      <w:r w:rsidR="000E1E88">
        <w:rPr>
          <w:rFonts w:ascii="Bliss 2 Light" w:hAnsi="Bliss 2 Light"/>
          <w:sz w:val="24"/>
          <w:szCs w:val="24"/>
        </w:rPr>
        <w:t>res</w:t>
      </w:r>
      <w:r w:rsidR="00F457C7">
        <w:rPr>
          <w:rFonts w:ascii="Bliss 2 Light" w:hAnsi="Bliss 2 Light"/>
          <w:sz w:val="24"/>
          <w:szCs w:val="24"/>
        </w:rPr>
        <w:t xml:space="preserve">ources can be </w:t>
      </w:r>
      <w:proofErr w:type="gramStart"/>
      <w:r w:rsidR="00F457C7">
        <w:rPr>
          <w:rFonts w:ascii="Bliss 2 Light" w:hAnsi="Bliss 2 Light"/>
          <w:sz w:val="24"/>
          <w:szCs w:val="24"/>
        </w:rPr>
        <w:t>found:</w:t>
      </w:r>
      <w:proofErr w:type="gramEnd"/>
      <w:r w:rsidR="00F457C7">
        <w:rPr>
          <w:rFonts w:ascii="Bliss 2 Light" w:hAnsi="Bliss 2 Light"/>
          <w:sz w:val="24"/>
          <w:szCs w:val="24"/>
        </w:rPr>
        <w:t xml:space="preserve"> this requires self-registration</w:t>
      </w:r>
      <w:r w:rsidR="00F37C72">
        <w:rPr>
          <w:rFonts w:ascii="Bliss 2 Light" w:hAnsi="Bliss 2 Light"/>
          <w:sz w:val="24"/>
          <w:szCs w:val="24"/>
        </w:rPr>
        <w:t xml:space="preserve"> [nhs.net email required].</w:t>
      </w:r>
    </w:p>
    <w:p w14:paraId="3BF57F0A" w14:textId="541773C7" w:rsidR="003E1A3F" w:rsidRDefault="003E1A3F" w:rsidP="007C3FE0">
      <w:pPr>
        <w:spacing w:after="0" w:line="240" w:lineRule="auto"/>
        <w:rPr>
          <w:rFonts w:ascii="Bliss 2 Light" w:hAnsi="Bliss 2 Light"/>
          <w:sz w:val="24"/>
          <w:szCs w:val="24"/>
        </w:rPr>
      </w:pPr>
    </w:p>
    <w:p w14:paraId="22C18EA2" w14:textId="290F94A1" w:rsidR="003E1A3F" w:rsidRDefault="003E1A3F" w:rsidP="007C3FE0">
      <w:pPr>
        <w:spacing w:after="0" w:line="240" w:lineRule="auto"/>
        <w:rPr>
          <w:rFonts w:ascii="Bliss 2 Light" w:hAnsi="Bliss 2 Light"/>
          <w:sz w:val="24"/>
          <w:szCs w:val="24"/>
        </w:rPr>
      </w:pPr>
      <w:r>
        <w:rPr>
          <w:rFonts w:ascii="Bliss 2 Light" w:hAnsi="Bliss 2 Light"/>
          <w:sz w:val="24"/>
          <w:szCs w:val="24"/>
        </w:rPr>
        <w:t xml:space="preserve">The Phase 2 guidance refers to Phase 1, including the flowchart Appendix </w:t>
      </w:r>
      <w:r w:rsidR="000E1E88">
        <w:rPr>
          <w:rFonts w:ascii="Bliss 2 Light" w:hAnsi="Bliss 2 Light"/>
          <w:sz w:val="24"/>
          <w:szCs w:val="24"/>
        </w:rPr>
        <w:t>1</w:t>
      </w:r>
      <w:r>
        <w:rPr>
          <w:rFonts w:ascii="Bliss 2 Light" w:hAnsi="Bliss 2 Light"/>
          <w:sz w:val="24"/>
          <w:szCs w:val="24"/>
        </w:rPr>
        <w:t>already noted.  The ‘in scope’ description in the Phase 2 letter is slightly different to the Phase 1 ‘in scope’ description above, and the LMC is not yet [see below] able to advise whether the differences between these are significant in terms of identifying ‘in-scope’ worker</w:t>
      </w:r>
      <w:r w:rsidR="000E1E88">
        <w:rPr>
          <w:rFonts w:ascii="Bliss 2 Light" w:hAnsi="Bliss 2 Light"/>
          <w:sz w:val="24"/>
          <w:szCs w:val="24"/>
        </w:rPr>
        <w:t>s</w:t>
      </w:r>
      <w:r>
        <w:rPr>
          <w:rFonts w:ascii="Bliss 2 Light" w:hAnsi="Bliss 2 Light"/>
          <w:sz w:val="24"/>
          <w:szCs w:val="24"/>
        </w:rPr>
        <w:t>.</w:t>
      </w:r>
    </w:p>
    <w:p w14:paraId="7E322E5E" w14:textId="6629B87E" w:rsidR="003E1A3F" w:rsidRDefault="003E1A3F" w:rsidP="007C3FE0">
      <w:pPr>
        <w:spacing w:after="0" w:line="240" w:lineRule="auto"/>
        <w:rPr>
          <w:rFonts w:ascii="Bliss 2 Light" w:hAnsi="Bliss 2 Light"/>
          <w:sz w:val="24"/>
          <w:szCs w:val="24"/>
        </w:rPr>
      </w:pPr>
    </w:p>
    <w:p w14:paraId="38355E74" w14:textId="77777777" w:rsidR="003E1A3F" w:rsidRPr="003E1A3F" w:rsidRDefault="003E1A3F" w:rsidP="00807CA5">
      <w:pPr>
        <w:spacing w:after="0" w:line="240" w:lineRule="auto"/>
        <w:ind w:left="720"/>
        <w:rPr>
          <w:rFonts w:ascii="Bliss 2 Light" w:hAnsi="Bliss 2 Light"/>
          <w:i/>
          <w:iCs/>
          <w:sz w:val="24"/>
          <w:szCs w:val="24"/>
        </w:rPr>
      </w:pPr>
      <w:r w:rsidRPr="003E1A3F">
        <w:rPr>
          <w:rFonts w:ascii="Bliss 2 Light" w:hAnsi="Bliss 2 Light"/>
          <w:i/>
          <w:iCs/>
          <w:sz w:val="24"/>
          <w:szCs w:val="24"/>
        </w:rPr>
        <w:t xml:space="preserve">The regulations provide that the registered person can only deploy or otherwise engage a person for the purposes of the provision of a CQC-regulated activity, in which they have direct, face to face contact with patients and service users, if the person provides evidence that they have been vaccinated with a complete course of a Medicines and Healthcare products Regulatory Agency (MHRA) approved COVID-19 vaccine. This is subject to specific exemptions and conditions. </w:t>
      </w:r>
    </w:p>
    <w:p w14:paraId="72754BB9" w14:textId="77777777" w:rsidR="003E1A3F" w:rsidRPr="003E1A3F" w:rsidRDefault="003E1A3F" w:rsidP="00807CA5">
      <w:pPr>
        <w:spacing w:after="0" w:line="240" w:lineRule="auto"/>
        <w:ind w:left="720"/>
        <w:rPr>
          <w:rFonts w:ascii="Bliss 2 Light" w:hAnsi="Bliss 2 Light"/>
          <w:i/>
          <w:iCs/>
          <w:sz w:val="24"/>
          <w:szCs w:val="24"/>
        </w:rPr>
      </w:pPr>
    </w:p>
    <w:p w14:paraId="18E6F245" w14:textId="77777777" w:rsidR="003E1A3F" w:rsidRPr="003E1A3F" w:rsidRDefault="003E1A3F" w:rsidP="00807CA5">
      <w:pPr>
        <w:spacing w:after="0" w:line="240" w:lineRule="auto"/>
        <w:ind w:left="720"/>
        <w:rPr>
          <w:rFonts w:ascii="Bliss 2 Light" w:hAnsi="Bliss 2 Light"/>
          <w:i/>
          <w:iCs/>
          <w:sz w:val="24"/>
          <w:szCs w:val="24"/>
        </w:rPr>
      </w:pPr>
      <w:r w:rsidRPr="003E1A3F">
        <w:rPr>
          <w:rFonts w:ascii="Bliss 2 Light" w:hAnsi="Bliss 2 Light"/>
          <w:i/>
          <w:iCs/>
          <w:sz w:val="24"/>
          <w:szCs w:val="24"/>
        </w:rPr>
        <w:t xml:space="preserve">The vaccination as a condition of deployment (VCOD) requirements include front-line workers, as well as non-clinical workers not directly involved in patient care but who may have face to face contact with patients, including ancillary staff such as porters, </w:t>
      </w:r>
      <w:proofErr w:type="gramStart"/>
      <w:r w:rsidRPr="003E1A3F">
        <w:rPr>
          <w:rFonts w:ascii="Bliss 2 Light" w:hAnsi="Bliss 2 Light"/>
          <w:i/>
          <w:iCs/>
          <w:sz w:val="24"/>
          <w:szCs w:val="24"/>
        </w:rPr>
        <w:t>cleaners</w:t>
      </w:r>
      <w:proofErr w:type="gramEnd"/>
      <w:r w:rsidRPr="003E1A3F">
        <w:rPr>
          <w:rFonts w:ascii="Bliss 2 Light" w:hAnsi="Bliss 2 Light"/>
          <w:i/>
          <w:iCs/>
          <w:sz w:val="24"/>
          <w:szCs w:val="24"/>
        </w:rPr>
        <w:t xml:space="preserve"> or receptionists.</w:t>
      </w:r>
    </w:p>
    <w:p w14:paraId="6997ACC9" w14:textId="2636AED3" w:rsidR="003E1A3F" w:rsidRDefault="003E1A3F" w:rsidP="007C3FE0">
      <w:pPr>
        <w:spacing w:after="0" w:line="240" w:lineRule="auto"/>
        <w:rPr>
          <w:rFonts w:ascii="Bliss 2 Light" w:hAnsi="Bliss 2 Light"/>
          <w:sz w:val="24"/>
          <w:szCs w:val="24"/>
        </w:rPr>
      </w:pPr>
    </w:p>
    <w:p w14:paraId="1ADDA9EC" w14:textId="1168E02F" w:rsidR="0095493E" w:rsidRDefault="0095493E" w:rsidP="007C3FE0">
      <w:pPr>
        <w:spacing w:after="0" w:line="240" w:lineRule="auto"/>
        <w:rPr>
          <w:rFonts w:ascii="Bliss 2 Light" w:hAnsi="Bliss 2 Light"/>
          <w:sz w:val="24"/>
          <w:szCs w:val="24"/>
        </w:rPr>
      </w:pPr>
      <w:r>
        <w:rPr>
          <w:rFonts w:ascii="Bliss 2 Light" w:hAnsi="Bliss 2 Light"/>
          <w:sz w:val="24"/>
          <w:szCs w:val="24"/>
        </w:rPr>
        <w:t xml:space="preserve">Although NHS England has stated it is not their role to provide HR advice to practices, colleagues should note </w:t>
      </w:r>
      <w:proofErr w:type="gramStart"/>
      <w:r>
        <w:rPr>
          <w:rFonts w:ascii="Bliss 2 Light" w:hAnsi="Bliss 2 Light"/>
          <w:sz w:val="24"/>
          <w:szCs w:val="24"/>
        </w:rPr>
        <w:t>a number of</w:t>
      </w:r>
      <w:proofErr w:type="gramEnd"/>
      <w:r>
        <w:rPr>
          <w:rFonts w:ascii="Bliss 2 Light" w:hAnsi="Bliss 2 Light"/>
          <w:sz w:val="24"/>
          <w:szCs w:val="24"/>
        </w:rPr>
        <w:t xml:space="preserve"> key points within the Phase 2 guidance:</w:t>
      </w:r>
    </w:p>
    <w:p w14:paraId="7F6D2BCF" w14:textId="1A36A202" w:rsidR="0095493E" w:rsidRDefault="0095493E" w:rsidP="007C3FE0">
      <w:pPr>
        <w:spacing w:after="0" w:line="240" w:lineRule="auto"/>
        <w:rPr>
          <w:rFonts w:ascii="Bliss 2 Light" w:hAnsi="Bliss 2 Light"/>
          <w:sz w:val="24"/>
          <w:szCs w:val="24"/>
        </w:rPr>
      </w:pPr>
    </w:p>
    <w:p w14:paraId="3CF1D94E" w14:textId="1A75910F" w:rsidR="0095493E" w:rsidRPr="00807CA5" w:rsidRDefault="0095493E" w:rsidP="00807CA5">
      <w:pPr>
        <w:pStyle w:val="ListParagraph"/>
        <w:numPr>
          <w:ilvl w:val="0"/>
          <w:numId w:val="3"/>
        </w:numPr>
        <w:spacing w:after="0" w:line="240" w:lineRule="auto"/>
        <w:rPr>
          <w:rFonts w:ascii="Bliss 2 Light" w:hAnsi="Bliss 2 Light"/>
          <w:sz w:val="24"/>
          <w:szCs w:val="24"/>
        </w:rPr>
      </w:pPr>
      <w:r w:rsidRPr="00807CA5">
        <w:rPr>
          <w:rFonts w:ascii="Bliss 2 Light" w:hAnsi="Bliss 2 Light"/>
          <w:sz w:val="24"/>
          <w:szCs w:val="24"/>
        </w:rPr>
        <w:t>NHS England state this is not a redundancy exercise, instead unvaccinated employees will either be redeployed</w:t>
      </w:r>
      <w:r w:rsidR="000E1E88">
        <w:rPr>
          <w:rFonts w:ascii="Bliss 2 Light" w:hAnsi="Bliss 2 Light"/>
          <w:sz w:val="24"/>
          <w:szCs w:val="24"/>
        </w:rPr>
        <w:t xml:space="preserve"> (or their role redefined)</w:t>
      </w:r>
      <w:r w:rsidRPr="00807CA5">
        <w:rPr>
          <w:rFonts w:ascii="Bliss 2 Light" w:hAnsi="Bliss 2 Light"/>
          <w:sz w:val="24"/>
          <w:szCs w:val="24"/>
        </w:rPr>
        <w:t xml:space="preserve"> to a role that does not require vaccination [is out of scope] or be dismissed.  Redeployment or dismissal “is determined by the introduction of</w:t>
      </w:r>
      <w:r w:rsidR="00740D8F" w:rsidRPr="00807CA5">
        <w:rPr>
          <w:rFonts w:ascii="Bliss 2 Light" w:hAnsi="Bliss 2 Light"/>
          <w:sz w:val="24"/>
          <w:szCs w:val="24"/>
        </w:rPr>
        <w:t xml:space="preserve"> the Regulations and the </w:t>
      </w:r>
      <w:r w:rsidR="001D6DE9" w:rsidRPr="00807CA5">
        <w:rPr>
          <w:rFonts w:ascii="Bliss 2 Light" w:hAnsi="Bliss 2 Light"/>
          <w:sz w:val="24"/>
          <w:szCs w:val="24"/>
        </w:rPr>
        <w:t>individual’s</w:t>
      </w:r>
      <w:r w:rsidR="00740D8F" w:rsidRPr="00807CA5">
        <w:rPr>
          <w:rFonts w:ascii="Bliss 2 Light" w:hAnsi="Bliss 2 Light"/>
          <w:sz w:val="24"/>
          <w:szCs w:val="24"/>
        </w:rPr>
        <w:t xml:space="preserve"> decision to remain unvaccinated”</w:t>
      </w:r>
    </w:p>
    <w:p w14:paraId="104D7B7D" w14:textId="3CF0D945" w:rsidR="00740D8F" w:rsidRDefault="00740D8F" w:rsidP="00740D8F">
      <w:pPr>
        <w:spacing w:after="0" w:line="240" w:lineRule="auto"/>
        <w:rPr>
          <w:rFonts w:ascii="Bliss 2 Light" w:hAnsi="Bliss 2 Light"/>
          <w:sz w:val="24"/>
          <w:szCs w:val="24"/>
        </w:rPr>
      </w:pPr>
    </w:p>
    <w:p w14:paraId="7ECC0C7F" w14:textId="150A9A58" w:rsidR="00740D8F" w:rsidRPr="00807CA5" w:rsidRDefault="00740D8F" w:rsidP="00807CA5">
      <w:pPr>
        <w:pStyle w:val="ListParagraph"/>
        <w:numPr>
          <w:ilvl w:val="0"/>
          <w:numId w:val="3"/>
        </w:numPr>
        <w:spacing w:after="0" w:line="240" w:lineRule="auto"/>
        <w:rPr>
          <w:rFonts w:ascii="Bliss 2 Light" w:hAnsi="Bliss 2 Light"/>
          <w:sz w:val="24"/>
          <w:szCs w:val="24"/>
        </w:rPr>
      </w:pPr>
      <w:r w:rsidRPr="00807CA5">
        <w:rPr>
          <w:rFonts w:ascii="Bliss 2 Light" w:hAnsi="Bliss 2 Light"/>
          <w:sz w:val="24"/>
          <w:szCs w:val="24"/>
        </w:rPr>
        <w:t xml:space="preserve">Aside from workers with a medical exemption, exceptions are limited (such as being under the age of 18 or having participated in a Covid19 vaccine trial) although colleagues should also note that those who are pregnant are entitled </w:t>
      </w:r>
      <w:r w:rsidR="000E1E88">
        <w:rPr>
          <w:rFonts w:ascii="Bliss 2 Light" w:hAnsi="Bliss 2 Light"/>
          <w:sz w:val="24"/>
          <w:szCs w:val="24"/>
        </w:rPr>
        <w:t xml:space="preserve">(although vaccination is recommended) </w:t>
      </w:r>
      <w:r w:rsidRPr="00807CA5">
        <w:rPr>
          <w:rFonts w:ascii="Bliss 2 Light" w:hAnsi="Bliss 2 Light"/>
          <w:sz w:val="24"/>
          <w:szCs w:val="24"/>
        </w:rPr>
        <w:t xml:space="preserve">to a temporary medical exemption until 16 weeks </w:t>
      </w:r>
      <w:r w:rsidR="001D6DE9" w:rsidRPr="00807CA5">
        <w:rPr>
          <w:rFonts w:ascii="Bliss 2 Light" w:hAnsi="Bliss 2 Light"/>
          <w:sz w:val="24"/>
          <w:szCs w:val="24"/>
        </w:rPr>
        <w:t>post-partum</w:t>
      </w:r>
    </w:p>
    <w:p w14:paraId="14ED8D2A" w14:textId="77777777" w:rsidR="006231F8" w:rsidRPr="006231F8" w:rsidRDefault="006231F8" w:rsidP="006231F8">
      <w:pPr>
        <w:spacing w:after="0" w:line="240" w:lineRule="auto"/>
        <w:rPr>
          <w:rFonts w:ascii="Bliss 2 Light" w:hAnsi="Bliss 2 Light"/>
          <w:sz w:val="24"/>
          <w:szCs w:val="24"/>
        </w:rPr>
      </w:pPr>
    </w:p>
    <w:p w14:paraId="1DE6828C" w14:textId="4671BA0C" w:rsidR="00FA4FE1" w:rsidRPr="00807CA5" w:rsidRDefault="00FA4FE1" w:rsidP="00807CA5">
      <w:pPr>
        <w:pStyle w:val="ListParagraph"/>
        <w:numPr>
          <w:ilvl w:val="0"/>
          <w:numId w:val="3"/>
        </w:numPr>
        <w:spacing w:after="0" w:line="240" w:lineRule="auto"/>
        <w:rPr>
          <w:rFonts w:ascii="Bliss 2 Light" w:hAnsi="Bliss 2 Light"/>
          <w:sz w:val="24"/>
          <w:szCs w:val="24"/>
        </w:rPr>
      </w:pPr>
      <w:r w:rsidRPr="00807CA5">
        <w:rPr>
          <w:rFonts w:ascii="Bliss 2 Light" w:hAnsi="Bliss 2 Light"/>
          <w:sz w:val="24"/>
          <w:szCs w:val="24"/>
        </w:rPr>
        <w:t xml:space="preserve">Dismissal would be on the grounds of a contravention of a statutory restriction [that in-scope workers must be vaccinated, unless exempt] or “some other substantive reason” [SOSR], for example, a vaccination status cannot be obtained </w:t>
      </w:r>
      <w:r w:rsidR="00B575A0" w:rsidRPr="00807CA5">
        <w:rPr>
          <w:rFonts w:ascii="Bliss 2 Light" w:hAnsi="Bliss 2 Light"/>
          <w:sz w:val="24"/>
          <w:szCs w:val="24"/>
        </w:rPr>
        <w:t>from the worker.   Dismissal notices should not be issued before 4</w:t>
      </w:r>
      <w:r w:rsidR="00B575A0" w:rsidRPr="00807CA5">
        <w:rPr>
          <w:rFonts w:ascii="Bliss 2 Light" w:hAnsi="Bliss 2 Light"/>
          <w:sz w:val="24"/>
          <w:szCs w:val="24"/>
          <w:vertAlign w:val="superscript"/>
        </w:rPr>
        <w:t>th</w:t>
      </w:r>
      <w:r w:rsidR="00B575A0" w:rsidRPr="00807CA5">
        <w:rPr>
          <w:rFonts w:ascii="Bliss 2 Light" w:hAnsi="Bliss 2 Light"/>
          <w:sz w:val="24"/>
          <w:szCs w:val="24"/>
        </w:rPr>
        <w:t xml:space="preserve"> February and should not expire before 31</w:t>
      </w:r>
      <w:r w:rsidR="00B575A0" w:rsidRPr="00807CA5">
        <w:rPr>
          <w:rFonts w:ascii="Bliss 2 Light" w:hAnsi="Bliss 2 Light"/>
          <w:sz w:val="24"/>
          <w:szCs w:val="24"/>
          <w:vertAlign w:val="superscript"/>
        </w:rPr>
        <w:t>st</w:t>
      </w:r>
      <w:r w:rsidR="00B575A0" w:rsidRPr="00807CA5">
        <w:rPr>
          <w:rFonts w:ascii="Bliss 2 Light" w:hAnsi="Bliss 2 Light"/>
          <w:sz w:val="24"/>
          <w:szCs w:val="24"/>
        </w:rPr>
        <w:t xml:space="preserve"> March 2022 (but this de</w:t>
      </w:r>
      <w:r w:rsidR="006231F8" w:rsidRPr="00807CA5">
        <w:rPr>
          <w:rFonts w:ascii="Bliss 2 Light" w:hAnsi="Bliss 2 Light"/>
          <w:sz w:val="24"/>
          <w:szCs w:val="24"/>
        </w:rPr>
        <w:t>pe</w:t>
      </w:r>
      <w:r w:rsidR="00B575A0" w:rsidRPr="00807CA5">
        <w:rPr>
          <w:rFonts w:ascii="Bliss 2 Light" w:hAnsi="Bliss 2 Light"/>
          <w:sz w:val="24"/>
          <w:szCs w:val="24"/>
        </w:rPr>
        <w:t>nds on the individuals notice period)</w:t>
      </w:r>
    </w:p>
    <w:p w14:paraId="014C6D0E" w14:textId="77777777" w:rsidR="00B575A0" w:rsidRPr="00B575A0" w:rsidRDefault="00B575A0" w:rsidP="00B575A0">
      <w:pPr>
        <w:pStyle w:val="ListParagraph"/>
        <w:rPr>
          <w:rFonts w:ascii="Bliss 2 Light" w:hAnsi="Bliss 2 Light"/>
          <w:sz w:val="24"/>
          <w:szCs w:val="24"/>
        </w:rPr>
      </w:pPr>
    </w:p>
    <w:p w14:paraId="2C818EB4" w14:textId="761FC12E" w:rsidR="00B575A0" w:rsidRPr="00807CA5" w:rsidRDefault="00B575A0" w:rsidP="00807CA5">
      <w:pPr>
        <w:pStyle w:val="ListParagraph"/>
        <w:numPr>
          <w:ilvl w:val="0"/>
          <w:numId w:val="3"/>
        </w:numPr>
        <w:spacing w:after="0" w:line="240" w:lineRule="auto"/>
        <w:rPr>
          <w:rFonts w:ascii="Bliss 2 Light" w:hAnsi="Bliss 2 Light"/>
          <w:sz w:val="24"/>
          <w:szCs w:val="24"/>
        </w:rPr>
      </w:pPr>
      <w:r w:rsidRPr="00807CA5">
        <w:rPr>
          <w:rFonts w:ascii="Bliss 2 Light" w:hAnsi="Bliss 2 Light"/>
          <w:sz w:val="24"/>
          <w:szCs w:val="24"/>
        </w:rPr>
        <w:t>Potential Redeployment: this may be temporary (for example for pregnant employees</w:t>
      </w:r>
      <w:r w:rsidR="000E1E88">
        <w:rPr>
          <w:rFonts w:ascii="Bliss 2 Light" w:hAnsi="Bliss 2 Light"/>
          <w:sz w:val="24"/>
          <w:szCs w:val="24"/>
        </w:rPr>
        <w:t xml:space="preserve"> or those who are late completing their vaccinations</w:t>
      </w:r>
      <w:r w:rsidRPr="00807CA5">
        <w:rPr>
          <w:rFonts w:ascii="Bliss 2 Light" w:hAnsi="Bliss 2 Light"/>
          <w:sz w:val="24"/>
          <w:szCs w:val="24"/>
        </w:rPr>
        <w:t xml:space="preserve">) or permanent.  </w:t>
      </w:r>
      <w:r w:rsidR="000E1E88">
        <w:rPr>
          <w:rFonts w:ascii="Bliss 2 Light" w:hAnsi="Bliss 2 Light"/>
          <w:sz w:val="24"/>
          <w:szCs w:val="24"/>
        </w:rPr>
        <w:t>Practices</w:t>
      </w:r>
      <w:r w:rsidRPr="00807CA5">
        <w:rPr>
          <w:rFonts w:ascii="Bliss 2 Light" w:hAnsi="Bliss 2 Light"/>
          <w:sz w:val="24"/>
          <w:szCs w:val="24"/>
        </w:rPr>
        <w:t xml:space="preserve"> should proactively identify roles not ‘in-scope’ and, if practical, pause external recruitment to</w:t>
      </w:r>
      <w:r w:rsidR="006231F8" w:rsidRPr="00807CA5">
        <w:rPr>
          <w:rFonts w:ascii="Bliss 2 Light" w:hAnsi="Bliss 2 Light"/>
          <w:sz w:val="24"/>
          <w:szCs w:val="24"/>
        </w:rPr>
        <w:t xml:space="preserve"> such posts to</w:t>
      </w:r>
      <w:r w:rsidRPr="00807CA5">
        <w:rPr>
          <w:rFonts w:ascii="Bliss 2 Light" w:hAnsi="Bliss 2 Light"/>
          <w:sz w:val="24"/>
          <w:szCs w:val="24"/>
        </w:rPr>
        <w:t xml:space="preserve"> allow for internal redeployment</w:t>
      </w:r>
      <w:r w:rsidR="00594534" w:rsidRPr="00807CA5">
        <w:rPr>
          <w:rFonts w:ascii="Bliss 2 Light" w:hAnsi="Bliss 2 Light"/>
          <w:sz w:val="24"/>
          <w:szCs w:val="24"/>
        </w:rPr>
        <w:t>, however, NHS England’s own guidance notes that for many providers, and this is particularly likely to be the case in GP practices, redeployment of staff because of VCOD “may not be feasible or practical</w:t>
      </w:r>
      <w:r w:rsidR="00B43EE5" w:rsidRPr="00807CA5">
        <w:rPr>
          <w:rFonts w:ascii="Bliss 2 Light" w:hAnsi="Bliss 2 Light"/>
          <w:sz w:val="24"/>
          <w:szCs w:val="24"/>
        </w:rPr>
        <w:t>”</w:t>
      </w:r>
    </w:p>
    <w:p w14:paraId="5450D754" w14:textId="77777777" w:rsidR="00B43EE5" w:rsidRPr="00B43EE5" w:rsidRDefault="00B43EE5" w:rsidP="00B43EE5">
      <w:pPr>
        <w:pStyle w:val="ListParagraph"/>
        <w:rPr>
          <w:rFonts w:ascii="Bliss 2 Light" w:hAnsi="Bliss 2 Light"/>
          <w:sz w:val="24"/>
          <w:szCs w:val="24"/>
        </w:rPr>
      </w:pPr>
    </w:p>
    <w:p w14:paraId="544ACABF" w14:textId="0B64CBAE" w:rsidR="00B43EE5" w:rsidRPr="00807CA5" w:rsidRDefault="00B43EE5" w:rsidP="00807CA5">
      <w:pPr>
        <w:pStyle w:val="ListParagraph"/>
        <w:numPr>
          <w:ilvl w:val="0"/>
          <w:numId w:val="3"/>
        </w:numPr>
        <w:spacing w:after="0" w:line="240" w:lineRule="auto"/>
        <w:rPr>
          <w:rFonts w:ascii="Bliss 2 Light" w:hAnsi="Bliss 2 Light"/>
          <w:sz w:val="24"/>
          <w:szCs w:val="24"/>
        </w:rPr>
      </w:pPr>
      <w:r w:rsidRPr="00807CA5">
        <w:rPr>
          <w:rFonts w:ascii="Bliss 2 Light" w:hAnsi="Bliss 2 Light"/>
          <w:sz w:val="24"/>
          <w:szCs w:val="24"/>
        </w:rPr>
        <w:t>Both redeployment and dismissal need to follow a documented process that is fair and consistent, and includes discussion with staff, making information available, and carefully considering both whether the current role is in-scope and whether any redeployment options are available.  If more than one employee is involved there will need to be a fair selection process.</w:t>
      </w:r>
    </w:p>
    <w:p w14:paraId="6C8E2B49" w14:textId="77777777" w:rsidR="00740D8F" w:rsidRPr="00740D8F" w:rsidRDefault="00740D8F" w:rsidP="00740D8F">
      <w:pPr>
        <w:pStyle w:val="ListParagraph"/>
        <w:rPr>
          <w:rFonts w:ascii="Bliss 2 Light" w:hAnsi="Bliss 2 Light"/>
          <w:sz w:val="24"/>
          <w:szCs w:val="24"/>
        </w:rPr>
      </w:pPr>
    </w:p>
    <w:p w14:paraId="23293097" w14:textId="5C050A2E" w:rsidR="00280B00" w:rsidRDefault="00280B00" w:rsidP="007C3FE0">
      <w:pPr>
        <w:spacing w:after="0" w:line="240" w:lineRule="auto"/>
        <w:rPr>
          <w:rFonts w:ascii="Bliss 2 Light" w:hAnsi="Bliss 2 Light"/>
          <w:sz w:val="24"/>
          <w:szCs w:val="24"/>
        </w:rPr>
      </w:pPr>
      <w:r>
        <w:rPr>
          <w:rFonts w:ascii="Bliss 2 Light" w:hAnsi="Bliss 2 Light"/>
          <w:sz w:val="24"/>
          <w:szCs w:val="24"/>
        </w:rPr>
        <w:t xml:space="preserve">The LMC </w:t>
      </w:r>
      <w:r w:rsidR="00B43EE5">
        <w:rPr>
          <w:rFonts w:ascii="Bliss 2 Light" w:hAnsi="Bliss 2 Light"/>
          <w:sz w:val="24"/>
          <w:szCs w:val="24"/>
        </w:rPr>
        <w:t>is not able to</w:t>
      </w:r>
      <w:r>
        <w:rPr>
          <w:rFonts w:ascii="Bliss 2 Light" w:hAnsi="Bliss 2 Light"/>
          <w:sz w:val="24"/>
          <w:szCs w:val="24"/>
        </w:rPr>
        <w:t xml:space="preserve"> provide HR advice: clearly many practices do have retainer arrangements to obtain this as </w:t>
      </w:r>
      <w:r w:rsidR="007C1055">
        <w:rPr>
          <w:rFonts w:ascii="Bliss 2 Light" w:hAnsi="Bliss 2 Light"/>
          <w:sz w:val="24"/>
          <w:szCs w:val="24"/>
        </w:rPr>
        <w:t>required but</w:t>
      </w:r>
      <w:r>
        <w:rPr>
          <w:rFonts w:ascii="Bliss 2 Light" w:hAnsi="Bliss 2 Light"/>
          <w:sz w:val="24"/>
          <w:szCs w:val="24"/>
        </w:rPr>
        <w:t xml:space="preserve"> given that all GP practices will need the same advice, and indeed all NHS </w:t>
      </w:r>
      <w:r w:rsidR="00B43EE5">
        <w:rPr>
          <w:rFonts w:ascii="Bliss 2 Light" w:hAnsi="Bliss 2 Light"/>
          <w:sz w:val="24"/>
          <w:szCs w:val="24"/>
        </w:rPr>
        <w:t>and CQC regulated independent o</w:t>
      </w:r>
      <w:r>
        <w:rPr>
          <w:rFonts w:ascii="Bliss 2 Light" w:hAnsi="Bliss 2 Light"/>
          <w:sz w:val="24"/>
          <w:szCs w:val="24"/>
        </w:rPr>
        <w:t>rganisations will have to make the same arrangements, the LMC has urgently requested the BMA provide detailed guidance.</w:t>
      </w:r>
    </w:p>
    <w:p w14:paraId="7756F6CE" w14:textId="5E473B63" w:rsidR="00280B00" w:rsidRDefault="00280B00" w:rsidP="007C3FE0">
      <w:pPr>
        <w:spacing w:after="0" w:line="240" w:lineRule="auto"/>
        <w:rPr>
          <w:rFonts w:ascii="Bliss 2 Light" w:hAnsi="Bliss 2 Light"/>
          <w:sz w:val="24"/>
          <w:szCs w:val="24"/>
        </w:rPr>
      </w:pPr>
    </w:p>
    <w:p w14:paraId="6DBE3D39" w14:textId="10248085" w:rsidR="00280B00" w:rsidRDefault="00280B00" w:rsidP="007C3FE0">
      <w:pPr>
        <w:spacing w:after="0" w:line="240" w:lineRule="auto"/>
        <w:rPr>
          <w:rFonts w:ascii="Bliss 2 Light" w:hAnsi="Bliss 2 Light"/>
          <w:sz w:val="24"/>
          <w:szCs w:val="24"/>
        </w:rPr>
      </w:pPr>
      <w:r>
        <w:rPr>
          <w:rFonts w:ascii="Bliss 2 Light" w:hAnsi="Bliss 2 Light"/>
          <w:sz w:val="24"/>
          <w:szCs w:val="24"/>
        </w:rPr>
        <w:t xml:space="preserve">The situation is very complicated: GP practices, as employers, will need to show they have followed an appropriate process.  Initially this involved identifying staff who have received </w:t>
      </w:r>
      <w:r w:rsidR="007C1055">
        <w:rPr>
          <w:rFonts w:ascii="Bliss 2 Light" w:hAnsi="Bliss 2 Light"/>
          <w:sz w:val="24"/>
          <w:szCs w:val="24"/>
        </w:rPr>
        <w:t>vaccinations and</w:t>
      </w:r>
      <w:r>
        <w:rPr>
          <w:rFonts w:ascii="Bliss 2 Light" w:hAnsi="Bliss 2 Light"/>
          <w:sz w:val="24"/>
          <w:szCs w:val="24"/>
        </w:rPr>
        <w:t xml:space="preserve"> encouraging </w:t>
      </w:r>
      <w:r w:rsidR="00146F9B">
        <w:rPr>
          <w:rFonts w:ascii="Bliss 2 Light" w:hAnsi="Bliss 2 Light"/>
          <w:sz w:val="24"/>
          <w:szCs w:val="24"/>
        </w:rPr>
        <w:t xml:space="preserve">via 1:1 </w:t>
      </w:r>
      <w:proofErr w:type="gramStart"/>
      <w:r w:rsidR="008F03F4">
        <w:rPr>
          <w:rFonts w:ascii="Bliss 2 Light" w:hAnsi="Bliss 2 Light"/>
          <w:sz w:val="24"/>
          <w:szCs w:val="24"/>
        </w:rPr>
        <w:t>discussion</w:t>
      </w:r>
      <w:r w:rsidR="00B43EE5">
        <w:rPr>
          <w:rFonts w:ascii="Bliss 2 Light" w:hAnsi="Bliss 2 Light"/>
          <w:sz w:val="24"/>
          <w:szCs w:val="24"/>
        </w:rPr>
        <w:t>s</w:t>
      </w:r>
      <w:proofErr w:type="gramEnd"/>
      <w:r w:rsidR="00B43EE5">
        <w:rPr>
          <w:rFonts w:ascii="Bliss 2 Light" w:hAnsi="Bliss 2 Light"/>
          <w:sz w:val="24"/>
          <w:szCs w:val="24"/>
        </w:rPr>
        <w:t xml:space="preserve"> which encouraged</w:t>
      </w:r>
      <w:r w:rsidR="00146F9B">
        <w:rPr>
          <w:rFonts w:ascii="Bliss 2 Light" w:hAnsi="Bliss 2 Light"/>
          <w:sz w:val="24"/>
          <w:szCs w:val="24"/>
        </w:rPr>
        <w:t xml:space="preserve"> unvaccinated staff to be vaccinated. </w:t>
      </w:r>
      <w:r w:rsidR="006231F8">
        <w:rPr>
          <w:rFonts w:ascii="Bliss 2 Light" w:hAnsi="Bliss 2 Light"/>
          <w:sz w:val="24"/>
          <w:szCs w:val="24"/>
        </w:rPr>
        <w:t>This is what practices should do first and</w:t>
      </w:r>
      <w:r w:rsidR="00146F9B">
        <w:rPr>
          <w:rFonts w:ascii="Bliss 2 Light" w:hAnsi="Bliss 2 Light"/>
          <w:sz w:val="24"/>
          <w:szCs w:val="24"/>
        </w:rPr>
        <w:t xml:space="preserve"> </w:t>
      </w:r>
      <w:r w:rsidR="006231F8">
        <w:rPr>
          <w:rFonts w:ascii="Bliss 2 Light" w:hAnsi="Bliss 2 Light"/>
          <w:sz w:val="24"/>
          <w:szCs w:val="24"/>
        </w:rPr>
        <w:t>t</w:t>
      </w:r>
      <w:r w:rsidR="00146F9B">
        <w:rPr>
          <w:rFonts w:ascii="Bliss 2 Light" w:hAnsi="Bliss 2 Light"/>
          <w:sz w:val="24"/>
          <w:szCs w:val="24"/>
        </w:rPr>
        <w:t>he LMC has received several examples where a discussion with a trusted, often, but not necessarily, clinical colleague has led to a change of mind.  Practices should also obtain evidence that a medical exemption applies, if said to be the case</w:t>
      </w:r>
      <w:r w:rsidR="00B43EE5">
        <w:rPr>
          <w:rFonts w:ascii="Bliss 2 Light" w:hAnsi="Bliss 2 Light"/>
          <w:sz w:val="24"/>
          <w:szCs w:val="24"/>
        </w:rPr>
        <w:t>, although are not required to know the medical condition that creates this.</w:t>
      </w:r>
    </w:p>
    <w:p w14:paraId="53DDDB8E" w14:textId="013CCB07" w:rsidR="00146F9B" w:rsidRDefault="00146F9B" w:rsidP="007C3FE0">
      <w:pPr>
        <w:spacing w:after="0" w:line="240" w:lineRule="auto"/>
        <w:rPr>
          <w:rFonts w:ascii="Bliss 2 Light" w:hAnsi="Bliss 2 Light"/>
          <w:sz w:val="24"/>
          <w:szCs w:val="24"/>
        </w:rPr>
      </w:pPr>
    </w:p>
    <w:p w14:paraId="1445895D" w14:textId="146FF6CC" w:rsidR="00146F9B" w:rsidRDefault="008F03F4" w:rsidP="007C3FE0">
      <w:pPr>
        <w:spacing w:after="0" w:line="240" w:lineRule="auto"/>
        <w:rPr>
          <w:rFonts w:ascii="Bliss 2 Light" w:hAnsi="Bliss 2 Light"/>
          <w:sz w:val="24"/>
          <w:szCs w:val="24"/>
        </w:rPr>
      </w:pPr>
      <w:r>
        <w:rPr>
          <w:rFonts w:ascii="Bliss 2 Light" w:hAnsi="Bliss 2 Light"/>
          <w:sz w:val="24"/>
          <w:szCs w:val="24"/>
        </w:rPr>
        <w:t>At</w:t>
      </w:r>
      <w:r w:rsidR="00146F9B">
        <w:rPr>
          <w:rFonts w:ascii="Bliss 2 Light" w:hAnsi="Bliss 2 Light"/>
          <w:sz w:val="24"/>
          <w:szCs w:val="24"/>
        </w:rPr>
        <w:t xml:space="preserve"> this point the next steps will </w:t>
      </w:r>
      <w:r w:rsidR="007C1055">
        <w:rPr>
          <w:rFonts w:ascii="Bliss 2 Light" w:hAnsi="Bliss 2 Light"/>
          <w:sz w:val="24"/>
          <w:szCs w:val="24"/>
        </w:rPr>
        <w:t>involve: -</w:t>
      </w:r>
    </w:p>
    <w:p w14:paraId="6EA3F564" w14:textId="2309EAF3" w:rsidR="00146F9B" w:rsidRDefault="00146F9B" w:rsidP="007C3FE0">
      <w:pPr>
        <w:spacing w:after="0" w:line="240" w:lineRule="auto"/>
        <w:rPr>
          <w:rFonts w:ascii="Bliss 2 Light" w:hAnsi="Bliss 2 Light"/>
          <w:sz w:val="24"/>
          <w:szCs w:val="24"/>
        </w:rPr>
      </w:pPr>
    </w:p>
    <w:p w14:paraId="4E873C3A" w14:textId="6DBAF94B" w:rsidR="00146F9B" w:rsidRDefault="00146F9B" w:rsidP="00146F9B">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Ensuring colleagues are aware of the potential implications of not being vaccinated</w:t>
      </w:r>
    </w:p>
    <w:p w14:paraId="38FAA2CA" w14:textId="304F8F47" w:rsidR="00146F9B" w:rsidRDefault="00146F9B" w:rsidP="00146F9B">
      <w:pPr>
        <w:spacing w:after="0" w:line="240" w:lineRule="auto"/>
        <w:rPr>
          <w:rFonts w:ascii="Bliss 2 Light" w:hAnsi="Bliss 2 Light"/>
          <w:sz w:val="24"/>
          <w:szCs w:val="24"/>
        </w:rPr>
      </w:pPr>
    </w:p>
    <w:p w14:paraId="77385F65" w14:textId="74630324" w:rsidR="00146F9B" w:rsidRDefault="00146F9B" w:rsidP="00146F9B">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Considering potential redeployment</w:t>
      </w:r>
    </w:p>
    <w:p w14:paraId="5FA536C6" w14:textId="77777777" w:rsidR="007C150E" w:rsidRPr="007C150E" w:rsidRDefault="007C150E" w:rsidP="007C150E">
      <w:pPr>
        <w:pStyle w:val="ListParagraph"/>
        <w:rPr>
          <w:rFonts w:ascii="Bliss 2 Light" w:hAnsi="Bliss 2 Light"/>
          <w:sz w:val="24"/>
          <w:szCs w:val="24"/>
        </w:rPr>
      </w:pPr>
    </w:p>
    <w:p w14:paraId="330EA8C9" w14:textId="78E45465" w:rsidR="00146F9B" w:rsidRPr="007C150E" w:rsidRDefault="007C150E" w:rsidP="00383EA6">
      <w:pPr>
        <w:pStyle w:val="ListParagraph"/>
        <w:numPr>
          <w:ilvl w:val="0"/>
          <w:numId w:val="1"/>
        </w:numPr>
        <w:spacing w:after="0" w:line="240" w:lineRule="auto"/>
        <w:rPr>
          <w:rFonts w:ascii="Bliss 2 Light" w:hAnsi="Bliss 2 Light"/>
          <w:sz w:val="24"/>
          <w:szCs w:val="24"/>
        </w:rPr>
      </w:pPr>
      <w:proofErr w:type="gramStart"/>
      <w:r w:rsidRPr="007C150E">
        <w:rPr>
          <w:rFonts w:ascii="Bliss 2 Light" w:hAnsi="Bliss 2 Light"/>
          <w:sz w:val="24"/>
          <w:szCs w:val="24"/>
        </w:rPr>
        <w:t>Making arrangements</w:t>
      </w:r>
      <w:proofErr w:type="gramEnd"/>
      <w:r w:rsidRPr="007C150E">
        <w:rPr>
          <w:rFonts w:ascii="Bliss 2 Light" w:hAnsi="Bliss 2 Light"/>
          <w:sz w:val="24"/>
          <w:szCs w:val="24"/>
        </w:rPr>
        <w:t xml:space="preserve"> for legal dismissal if necessary</w:t>
      </w:r>
    </w:p>
    <w:p w14:paraId="696717F3" w14:textId="1F11887B" w:rsidR="00146F9B" w:rsidRDefault="00146F9B" w:rsidP="00146F9B">
      <w:pPr>
        <w:spacing w:after="0" w:line="240" w:lineRule="auto"/>
        <w:rPr>
          <w:rFonts w:ascii="Bliss 2 Light" w:hAnsi="Bliss 2 Light"/>
          <w:sz w:val="24"/>
          <w:szCs w:val="24"/>
        </w:rPr>
      </w:pPr>
    </w:p>
    <w:p w14:paraId="7EAD95D8" w14:textId="18C4F6DE" w:rsidR="00146F9B" w:rsidRDefault="007C150E" w:rsidP="00146F9B">
      <w:pPr>
        <w:spacing w:after="0" w:line="240" w:lineRule="auto"/>
        <w:rPr>
          <w:rFonts w:ascii="Bliss 2 Light" w:hAnsi="Bliss 2 Light"/>
          <w:sz w:val="24"/>
          <w:szCs w:val="24"/>
        </w:rPr>
      </w:pPr>
      <w:r>
        <w:rPr>
          <w:rFonts w:ascii="Bliss 2 Light" w:hAnsi="Bliss 2 Light"/>
          <w:sz w:val="24"/>
          <w:szCs w:val="24"/>
        </w:rPr>
        <w:t>Each of these</w:t>
      </w:r>
      <w:r w:rsidR="00146F9B">
        <w:rPr>
          <w:rFonts w:ascii="Bliss 2 Light" w:hAnsi="Bliss 2 Light"/>
          <w:sz w:val="24"/>
          <w:szCs w:val="24"/>
        </w:rPr>
        <w:t xml:space="preserve"> steps will require HR </w:t>
      </w:r>
      <w:r w:rsidR="006231F8">
        <w:rPr>
          <w:rFonts w:ascii="Bliss 2 Light" w:hAnsi="Bliss 2 Light"/>
          <w:sz w:val="24"/>
          <w:szCs w:val="24"/>
        </w:rPr>
        <w:t>a</w:t>
      </w:r>
      <w:r w:rsidR="00146F9B">
        <w:rPr>
          <w:rFonts w:ascii="Bliss 2 Light" w:hAnsi="Bliss 2 Light"/>
          <w:sz w:val="24"/>
          <w:szCs w:val="24"/>
        </w:rPr>
        <w:t>dvice and careful documentation</w:t>
      </w:r>
      <w:r>
        <w:rPr>
          <w:rFonts w:ascii="Bliss 2 Light" w:hAnsi="Bliss 2 Light"/>
          <w:sz w:val="24"/>
          <w:szCs w:val="24"/>
        </w:rPr>
        <w:t>.  W</w:t>
      </w:r>
      <w:r w:rsidR="00146F9B">
        <w:rPr>
          <w:rFonts w:ascii="Bliss 2 Light" w:hAnsi="Bliss 2 Light"/>
          <w:sz w:val="24"/>
          <w:szCs w:val="24"/>
        </w:rPr>
        <w:t>ithin individual practices, the potential for redeployment</w:t>
      </w:r>
      <w:r>
        <w:rPr>
          <w:rFonts w:ascii="Bliss 2 Light" w:hAnsi="Bliss 2 Light"/>
          <w:sz w:val="24"/>
          <w:szCs w:val="24"/>
        </w:rPr>
        <w:t xml:space="preserve"> is likely </w:t>
      </w:r>
      <w:r w:rsidR="001D6DE9">
        <w:rPr>
          <w:rFonts w:ascii="Bliss 2 Light" w:hAnsi="Bliss 2 Light"/>
          <w:sz w:val="24"/>
          <w:szCs w:val="24"/>
        </w:rPr>
        <w:t>to be</w:t>
      </w:r>
      <w:r>
        <w:rPr>
          <w:rFonts w:ascii="Bliss 2 Light" w:hAnsi="Bliss 2 Light"/>
          <w:sz w:val="24"/>
          <w:szCs w:val="24"/>
        </w:rPr>
        <w:t xml:space="preserve"> limited</w:t>
      </w:r>
      <w:r w:rsidR="00146F9B">
        <w:rPr>
          <w:rFonts w:ascii="Bliss 2 Light" w:hAnsi="Bliss 2 Light"/>
          <w:sz w:val="24"/>
          <w:szCs w:val="24"/>
        </w:rPr>
        <w:t xml:space="preserve">, and </w:t>
      </w:r>
      <w:r>
        <w:rPr>
          <w:rFonts w:ascii="Bliss 2 Light" w:hAnsi="Bliss 2 Light"/>
          <w:sz w:val="24"/>
          <w:szCs w:val="24"/>
        </w:rPr>
        <w:t xml:space="preserve">therefore </w:t>
      </w:r>
      <w:r w:rsidR="00146F9B">
        <w:rPr>
          <w:rFonts w:ascii="Bliss 2 Light" w:hAnsi="Bliss 2 Light"/>
          <w:sz w:val="24"/>
          <w:szCs w:val="24"/>
        </w:rPr>
        <w:t xml:space="preserve">the impact of staff not being vaccinated </w:t>
      </w:r>
      <w:r w:rsidR="00EF085D">
        <w:rPr>
          <w:rFonts w:ascii="Bliss 2 Light" w:hAnsi="Bliss 2 Light"/>
          <w:sz w:val="24"/>
          <w:szCs w:val="24"/>
        </w:rPr>
        <w:t>is likely to</w:t>
      </w:r>
      <w:r w:rsidR="00146F9B">
        <w:rPr>
          <w:rFonts w:ascii="Bliss 2 Light" w:hAnsi="Bliss 2 Light"/>
          <w:sz w:val="24"/>
          <w:szCs w:val="24"/>
        </w:rPr>
        <w:t xml:space="preserve"> be significant</w:t>
      </w:r>
      <w:r w:rsidR="00EF085D">
        <w:rPr>
          <w:rFonts w:ascii="Bliss 2 Light" w:hAnsi="Bliss 2 Light"/>
          <w:sz w:val="24"/>
          <w:szCs w:val="24"/>
        </w:rPr>
        <w:t xml:space="preserve"> especially in terms of key clinical and in-scope non-clinical personnel</w:t>
      </w:r>
      <w:r w:rsidR="00146F9B">
        <w:rPr>
          <w:rFonts w:ascii="Bliss 2 Light" w:hAnsi="Bliss 2 Light"/>
          <w:sz w:val="24"/>
          <w:szCs w:val="24"/>
        </w:rPr>
        <w:t xml:space="preserve">.  Across the wider NHS, this is a very concerning scenario, as although in many Acute and Community Trusts overall staff vaccination rates approach and exceed 90%, this conceals </w:t>
      </w:r>
      <w:proofErr w:type="gramStart"/>
      <w:r w:rsidR="00146F9B">
        <w:rPr>
          <w:rFonts w:ascii="Bliss 2 Light" w:hAnsi="Bliss 2 Light"/>
          <w:sz w:val="24"/>
          <w:szCs w:val="24"/>
        </w:rPr>
        <w:t>a number of</w:t>
      </w:r>
      <w:proofErr w:type="gramEnd"/>
      <w:r w:rsidR="00146F9B">
        <w:rPr>
          <w:rFonts w:ascii="Bliss 2 Light" w:hAnsi="Bliss 2 Light"/>
          <w:sz w:val="24"/>
          <w:szCs w:val="24"/>
        </w:rPr>
        <w:t xml:space="preserve"> variations within staff groups.  Given the current and anticipated future demands on the </w:t>
      </w:r>
      <w:r w:rsidR="007C1055">
        <w:rPr>
          <w:rFonts w:ascii="Bliss 2 Light" w:hAnsi="Bliss 2 Light"/>
          <w:sz w:val="24"/>
          <w:szCs w:val="24"/>
        </w:rPr>
        <w:t xml:space="preserve">NHS together with eroding staff numbers and morale, it is hard to see how the NHS </w:t>
      </w:r>
      <w:r w:rsidR="006231F8">
        <w:rPr>
          <w:rFonts w:ascii="Bliss 2 Light" w:hAnsi="Bliss 2 Light"/>
          <w:sz w:val="24"/>
          <w:szCs w:val="24"/>
        </w:rPr>
        <w:t xml:space="preserve">services </w:t>
      </w:r>
      <w:r w:rsidR="007C1055">
        <w:rPr>
          <w:rFonts w:ascii="Bliss 2 Light" w:hAnsi="Bliss 2 Light"/>
          <w:sz w:val="24"/>
          <w:szCs w:val="24"/>
        </w:rPr>
        <w:t>can cope with the potential impact of staff who may leave because of the implication of these Regulations.</w:t>
      </w:r>
    </w:p>
    <w:p w14:paraId="1A195607" w14:textId="59060D01" w:rsidR="007C1055" w:rsidRDefault="007C1055" w:rsidP="00146F9B">
      <w:pPr>
        <w:spacing w:after="0" w:line="240" w:lineRule="auto"/>
        <w:rPr>
          <w:rFonts w:ascii="Bliss 2 Light" w:hAnsi="Bliss 2 Light"/>
          <w:sz w:val="24"/>
          <w:szCs w:val="24"/>
        </w:rPr>
      </w:pPr>
    </w:p>
    <w:p w14:paraId="582DBD9F" w14:textId="7DAAF566" w:rsidR="007C1055" w:rsidRDefault="007C1055" w:rsidP="00146F9B">
      <w:pPr>
        <w:spacing w:after="0" w:line="240" w:lineRule="auto"/>
        <w:rPr>
          <w:rFonts w:ascii="Bliss 2 Light" w:hAnsi="Bliss 2 Light"/>
          <w:sz w:val="24"/>
          <w:szCs w:val="24"/>
        </w:rPr>
      </w:pPr>
      <w:r>
        <w:rPr>
          <w:rFonts w:ascii="Bliss 2 Light" w:hAnsi="Bliss 2 Light"/>
          <w:sz w:val="24"/>
          <w:szCs w:val="24"/>
        </w:rPr>
        <w:t>GP colleagues should also be aware this Regulation may affect vaccinated medical (and other in scope) partners, who are not covered by usual employment law arrangements.  GPC has been asked to urgently provide guidance for this situation.  It is possible that the GMC (and other Regulators, such as the RCN) may provide professional guidance that will also be relevant and touch on clauses within your Partnership Agreement.  Practices should be aware of any partners vaccination status, alongside their employees.</w:t>
      </w:r>
    </w:p>
    <w:p w14:paraId="22953F78" w14:textId="52B0AA58" w:rsidR="007C1055" w:rsidRDefault="007C1055" w:rsidP="00146F9B">
      <w:pPr>
        <w:spacing w:after="0" w:line="240" w:lineRule="auto"/>
        <w:rPr>
          <w:rFonts w:ascii="Bliss 2 Light" w:hAnsi="Bliss 2 Light"/>
          <w:sz w:val="24"/>
          <w:szCs w:val="24"/>
        </w:rPr>
      </w:pPr>
    </w:p>
    <w:p w14:paraId="5E83E44F" w14:textId="06434163" w:rsidR="007C1055" w:rsidRDefault="007C1055" w:rsidP="00146F9B">
      <w:pPr>
        <w:spacing w:after="0" w:line="240" w:lineRule="auto"/>
        <w:rPr>
          <w:rFonts w:ascii="Bliss 2 Light" w:hAnsi="Bliss 2 Light"/>
          <w:sz w:val="24"/>
          <w:szCs w:val="24"/>
        </w:rPr>
      </w:pPr>
      <w:r>
        <w:rPr>
          <w:rFonts w:ascii="Bliss 2 Light" w:hAnsi="Bliss 2 Light"/>
          <w:sz w:val="24"/>
          <w:szCs w:val="24"/>
        </w:rPr>
        <w:t>I appreciate this is yet another concern for practices, imposed centrally, taking u</w:t>
      </w:r>
      <w:r w:rsidR="006E5E33">
        <w:rPr>
          <w:rFonts w:ascii="Bliss 2 Light" w:hAnsi="Bliss 2 Light"/>
          <w:sz w:val="24"/>
          <w:szCs w:val="24"/>
        </w:rPr>
        <w:t>p</w:t>
      </w:r>
      <w:r>
        <w:rPr>
          <w:rFonts w:ascii="Bliss 2 Light" w:hAnsi="Bliss 2 Light"/>
          <w:sz w:val="24"/>
          <w:szCs w:val="24"/>
        </w:rPr>
        <w:t xml:space="preserve"> </w:t>
      </w:r>
      <w:proofErr w:type="gramStart"/>
      <w:r>
        <w:rPr>
          <w:rFonts w:ascii="Bliss 2 Light" w:hAnsi="Bliss 2 Light"/>
          <w:sz w:val="24"/>
          <w:szCs w:val="24"/>
        </w:rPr>
        <w:t>colleagues</w:t>
      </w:r>
      <w:proofErr w:type="gramEnd"/>
      <w:r>
        <w:rPr>
          <w:rFonts w:ascii="Bliss 2 Light" w:hAnsi="Bliss 2 Light"/>
          <w:sz w:val="24"/>
          <w:szCs w:val="24"/>
        </w:rPr>
        <w:t xml:space="preserve"> time, and causing anxiety for all involved.</w:t>
      </w:r>
    </w:p>
    <w:p w14:paraId="50FE60A9" w14:textId="49CF09F0" w:rsidR="007C1055" w:rsidRDefault="007C1055" w:rsidP="00146F9B">
      <w:pPr>
        <w:spacing w:after="0" w:line="240" w:lineRule="auto"/>
        <w:rPr>
          <w:rFonts w:ascii="Bliss 2 Light" w:hAnsi="Bliss 2 Light"/>
          <w:sz w:val="24"/>
          <w:szCs w:val="24"/>
        </w:rPr>
      </w:pPr>
    </w:p>
    <w:p w14:paraId="26BD0E29" w14:textId="5E44C5AB" w:rsidR="007C1055" w:rsidRDefault="007C1055" w:rsidP="00146F9B">
      <w:pPr>
        <w:spacing w:after="0" w:line="240" w:lineRule="auto"/>
        <w:rPr>
          <w:rFonts w:ascii="Bliss 2 Light" w:hAnsi="Bliss 2 Light"/>
          <w:sz w:val="24"/>
          <w:szCs w:val="24"/>
        </w:rPr>
      </w:pPr>
      <w:r>
        <w:rPr>
          <w:rFonts w:ascii="Bliss 2 Light" w:hAnsi="Bliss 2 Light"/>
          <w:sz w:val="24"/>
          <w:szCs w:val="24"/>
        </w:rPr>
        <w:t>Given the importance of demonstrably following HR arrangements, practices will need to take HR advice on this issue, although I hope more detailed and helpful guidance will be available very shortly</w:t>
      </w:r>
      <w:r w:rsidR="00EF085D">
        <w:rPr>
          <w:rFonts w:ascii="Bliss 2 Light" w:hAnsi="Bliss 2 Light"/>
          <w:sz w:val="24"/>
          <w:szCs w:val="24"/>
        </w:rPr>
        <w:t xml:space="preserve"> and I will circulate this</w:t>
      </w:r>
      <w:r>
        <w:rPr>
          <w:rFonts w:ascii="Bliss 2 Light" w:hAnsi="Bliss 2 Light"/>
          <w:sz w:val="24"/>
          <w:szCs w:val="24"/>
        </w:rPr>
        <w:t>.</w:t>
      </w:r>
    </w:p>
    <w:p w14:paraId="1C06B739" w14:textId="48AFBBE1" w:rsidR="007C1055" w:rsidRDefault="007C1055" w:rsidP="00146F9B">
      <w:pPr>
        <w:spacing w:after="0" w:line="240" w:lineRule="auto"/>
        <w:rPr>
          <w:rFonts w:ascii="Bliss 2 Light" w:hAnsi="Bliss 2 Light"/>
          <w:sz w:val="24"/>
          <w:szCs w:val="24"/>
        </w:rPr>
      </w:pPr>
    </w:p>
    <w:p w14:paraId="18C78D18" w14:textId="40061219" w:rsidR="007C1055" w:rsidRDefault="007C1055" w:rsidP="00146F9B">
      <w:pPr>
        <w:spacing w:after="0" w:line="240" w:lineRule="auto"/>
        <w:rPr>
          <w:rFonts w:ascii="Bliss 2 Light" w:hAnsi="Bliss 2 Light"/>
          <w:sz w:val="24"/>
          <w:szCs w:val="24"/>
        </w:rPr>
      </w:pPr>
      <w:r>
        <w:rPr>
          <w:rFonts w:ascii="Bliss 2 Light" w:hAnsi="Bliss 2 Light"/>
          <w:sz w:val="24"/>
          <w:szCs w:val="24"/>
        </w:rPr>
        <w:t>With best wishes</w:t>
      </w:r>
    </w:p>
    <w:p w14:paraId="43F11DAD" w14:textId="140C5276" w:rsidR="007C1055" w:rsidRDefault="007C1055" w:rsidP="00146F9B">
      <w:pPr>
        <w:spacing w:after="0" w:line="240" w:lineRule="auto"/>
        <w:rPr>
          <w:rFonts w:ascii="Bliss 2 Light" w:hAnsi="Bliss 2 Light"/>
          <w:sz w:val="24"/>
          <w:szCs w:val="24"/>
        </w:rPr>
      </w:pPr>
    </w:p>
    <w:p w14:paraId="37C43FD3" w14:textId="7ED15C03" w:rsidR="007C1055" w:rsidRDefault="007C1055" w:rsidP="00146F9B">
      <w:pPr>
        <w:spacing w:after="0" w:line="240" w:lineRule="auto"/>
        <w:rPr>
          <w:rFonts w:ascii="Bliss 2 Light" w:hAnsi="Bliss 2 Light"/>
          <w:sz w:val="24"/>
          <w:szCs w:val="24"/>
        </w:rPr>
      </w:pPr>
    </w:p>
    <w:p w14:paraId="40C3E18A" w14:textId="5AF44DEA" w:rsidR="007C1055" w:rsidRDefault="000E1E88" w:rsidP="00146F9B">
      <w:pPr>
        <w:spacing w:after="0" w:line="240" w:lineRule="auto"/>
        <w:rPr>
          <w:rFonts w:ascii="Bliss 2 Light" w:hAnsi="Bliss 2 Light"/>
          <w:sz w:val="24"/>
          <w:szCs w:val="24"/>
        </w:rPr>
      </w:pPr>
      <w:r w:rsidRPr="001E32C1">
        <w:rPr>
          <w:noProof/>
          <w:lang w:eastAsia="en-GB"/>
        </w:rPr>
        <w:drawing>
          <wp:inline distT="0" distB="0" distL="0" distR="0" wp14:anchorId="695DFD05" wp14:editId="55C0A20D">
            <wp:extent cx="1645920" cy="110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47B1865A" w14:textId="007C000B" w:rsidR="007C1055" w:rsidRDefault="007C1055" w:rsidP="00146F9B">
      <w:pPr>
        <w:spacing w:after="0" w:line="240" w:lineRule="auto"/>
        <w:rPr>
          <w:rFonts w:ascii="Bliss 2 Light" w:hAnsi="Bliss 2 Light"/>
          <w:sz w:val="24"/>
          <w:szCs w:val="24"/>
        </w:rPr>
      </w:pPr>
    </w:p>
    <w:p w14:paraId="301A5534" w14:textId="7D437000" w:rsidR="007C1055" w:rsidRDefault="007C1055" w:rsidP="00146F9B">
      <w:pPr>
        <w:spacing w:after="0" w:line="240" w:lineRule="auto"/>
        <w:rPr>
          <w:rFonts w:ascii="Bliss 2 Light" w:hAnsi="Bliss 2 Light"/>
          <w:sz w:val="24"/>
          <w:szCs w:val="24"/>
        </w:rPr>
      </w:pPr>
    </w:p>
    <w:p w14:paraId="1F2C999D" w14:textId="0D0DE398" w:rsidR="007C1055" w:rsidRDefault="007C1055" w:rsidP="00146F9B">
      <w:pPr>
        <w:spacing w:after="0" w:line="240" w:lineRule="auto"/>
        <w:rPr>
          <w:rFonts w:ascii="Bliss 2 Light" w:hAnsi="Bliss 2 Light"/>
          <w:sz w:val="24"/>
          <w:szCs w:val="24"/>
        </w:rPr>
      </w:pPr>
    </w:p>
    <w:p w14:paraId="68E1039A" w14:textId="6F7ADFAD" w:rsidR="007C1055" w:rsidRDefault="007C1055" w:rsidP="00146F9B">
      <w:pPr>
        <w:spacing w:after="0" w:line="240" w:lineRule="auto"/>
        <w:rPr>
          <w:rFonts w:ascii="Bliss 2 Light" w:hAnsi="Bliss 2 Light"/>
          <w:sz w:val="24"/>
          <w:szCs w:val="24"/>
        </w:rPr>
      </w:pPr>
      <w:r>
        <w:rPr>
          <w:rFonts w:ascii="Bliss 2 Light" w:hAnsi="Bliss 2 Light"/>
          <w:sz w:val="24"/>
          <w:szCs w:val="24"/>
        </w:rPr>
        <w:t>Dr Julius Parker</w:t>
      </w:r>
    </w:p>
    <w:p w14:paraId="57E3DD77" w14:textId="7948D694" w:rsidR="007C1055" w:rsidRPr="007C1055" w:rsidRDefault="007C1055" w:rsidP="00146F9B">
      <w:pPr>
        <w:spacing w:after="0" w:line="240" w:lineRule="auto"/>
        <w:rPr>
          <w:rFonts w:ascii="Bliss 2 Light" w:hAnsi="Bliss 2 Light"/>
          <w:b/>
          <w:bCs/>
          <w:sz w:val="24"/>
          <w:szCs w:val="24"/>
        </w:rPr>
      </w:pPr>
      <w:r>
        <w:rPr>
          <w:rFonts w:ascii="Bliss 2 Light" w:hAnsi="Bliss 2 Light"/>
          <w:b/>
          <w:bCs/>
          <w:sz w:val="24"/>
          <w:szCs w:val="24"/>
        </w:rPr>
        <w:t>Chief Executive</w:t>
      </w:r>
    </w:p>
    <w:sectPr w:rsidR="007C1055" w:rsidRPr="007C1055" w:rsidSect="000C27C0">
      <w:headerReference w:type="first" r:id="rId11"/>
      <w:footerReference w:type="first" r:id="rId12"/>
      <w:pgSz w:w="11906" w:h="16838"/>
      <w:pgMar w:top="1440" w:right="991" w:bottom="144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2A7B" w14:textId="77777777" w:rsidR="00B46ECD" w:rsidRDefault="00B46ECD" w:rsidP="00D01AA4">
      <w:pPr>
        <w:spacing w:after="0" w:line="240" w:lineRule="auto"/>
      </w:pPr>
      <w:r>
        <w:separator/>
      </w:r>
    </w:p>
  </w:endnote>
  <w:endnote w:type="continuationSeparator" w:id="0">
    <w:p w14:paraId="298F4DBA" w14:textId="77777777" w:rsidR="00B46ECD" w:rsidRDefault="00B46ECD" w:rsidP="00D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 xml:space="preserve">Croydon, Kingston &amp; Richmond, Surrey, East </w:t>
          </w:r>
          <w:proofErr w:type="gramStart"/>
          <w:r w:rsidRPr="00D01AA4">
            <w:rPr>
              <w:color w:val="808080" w:themeColor="background1" w:themeShade="80"/>
              <w:sz w:val="18"/>
              <w:szCs w:val="18"/>
            </w:rPr>
            <w:t>Sussex</w:t>
          </w:r>
          <w:proofErr w:type="gramEnd"/>
          <w:r w:rsidRPr="00D01AA4">
            <w:rPr>
              <w:color w:val="808080" w:themeColor="background1" w:themeShade="80"/>
              <w:sz w:val="18"/>
              <w:szCs w:val="18"/>
            </w:rPr>
            <w:t xml:space="preserve">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 xml:space="preserve">Supporting and </w:t>
          </w:r>
          <w:proofErr w:type="gramStart"/>
          <w:r w:rsidRPr="00D01AA4">
            <w:rPr>
              <w:color w:val="009999"/>
              <w:sz w:val="18"/>
              <w:szCs w:val="18"/>
              <w14:textFill>
                <w14:solidFill>
                  <w14:srgbClr w14:val="009999">
                    <w14:lumMod w14:val="50000"/>
                  </w14:srgbClr>
                </w14:solidFill>
              </w14:textFill>
            </w:rPr>
            <w:t>Representing</w:t>
          </w:r>
          <w:proofErr w:type="gramEnd"/>
          <w:r w:rsidRPr="00D01AA4">
            <w:rPr>
              <w:color w:val="009999"/>
              <w:sz w:val="18"/>
              <w:szCs w:val="18"/>
              <w14:textFill>
                <w14:solidFill>
                  <w14:srgbClr w14:val="009999">
                    <w14:lumMod w14:val="50000"/>
                  </w14:srgbClr>
                </w14:solidFill>
              </w14:textFill>
            </w:rPr>
            <w:t xml:space="preserve">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8BE8" w14:textId="77777777" w:rsidR="00B46ECD" w:rsidRDefault="00B46ECD" w:rsidP="00D01AA4">
      <w:pPr>
        <w:spacing w:after="0" w:line="240" w:lineRule="auto"/>
      </w:pPr>
      <w:r>
        <w:separator/>
      </w:r>
    </w:p>
  </w:footnote>
  <w:footnote w:type="continuationSeparator" w:id="0">
    <w:p w14:paraId="6D4D6570" w14:textId="77777777" w:rsidR="00B46ECD" w:rsidRDefault="00B46ECD" w:rsidP="00D0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CA"/>
    <w:multiLevelType w:val="hybridMultilevel"/>
    <w:tmpl w:val="91607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850BE"/>
    <w:multiLevelType w:val="hybridMultilevel"/>
    <w:tmpl w:val="AF2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A634F"/>
    <w:multiLevelType w:val="hybridMultilevel"/>
    <w:tmpl w:val="EA0EB95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00281"/>
    <w:rsid w:val="0005651A"/>
    <w:rsid w:val="000A0BA7"/>
    <w:rsid w:val="000C27C0"/>
    <w:rsid w:val="000E1E88"/>
    <w:rsid w:val="00146F9B"/>
    <w:rsid w:val="001D6DE9"/>
    <w:rsid w:val="00252D41"/>
    <w:rsid w:val="00280B00"/>
    <w:rsid w:val="002928FA"/>
    <w:rsid w:val="002A48B1"/>
    <w:rsid w:val="00363725"/>
    <w:rsid w:val="00365F37"/>
    <w:rsid w:val="003E1A3F"/>
    <w:rsid w:val="003F427A"/>
    <w:rsid w:val="004D260C"/>
    <w:rsid w:val="00594534"/>
    <w:rsid w:val="00594E22"/>
    <w:rsid w:val="006231F8"/>
    <w:rsid w:val="006E5E33"/>
    <w:rsid w:val="00740D8F"/>
    <w:rsid w:val="007C1055"/>
    <w:rsid w:val="007C150E"/>
    <w:rsid w:val="007C3FE0"/>
    <w:rsid w:val="00807CA5"/>
    <w:rsid w:val="0085042B"/>
    <w:rsid w:val="008F03F4"/>
    <w:rsid w:val="00931265"/>
    <w:rsid w:val="0095493E"/>
    <w:rsid w:val="00B43EE5"/>
    <w:rsid w:val="00B46ECD"/>
    <w:rsid w:val="00B47F23"/>
    <w:rsid w:val="00B575A0"/>
    <w:rsid w:val="00C74B62"/>
    <w:rsid w:val="00CB2D0A"/>
    <w:rsid w:val="00CE61DA"/>
    <w:rsid w:val="00D01AA4"/>
    <w:rsid w:val="00E45794"/>
    <w:rsid w:val="00E97D73"/>
    <w:rsid w:val="00EF085D"/>
    <w:rsid w:val="00F37C72"/>
    <w:rsid w:val="00F457C7"/>
    <w:rsid w:val="00F903F2"/>
    <w:rsid w:val="00FA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F9B"/>
    <w:pPr>
      <w:ind w:left="720"/>
      <w:contextualSpacing/>
    </w:pPr>
  </w:style>
  <w:style w:type="character" w:styleId="Hyperlink">
    <w:name w:val="Hyperlink"/>
    <w:basedOn w:val="DefaultParagraphFont"/>
    <w:uiPriority w:val="99"/>
    <w:semiHidden/>
    <w:unhideWhenUsed/>
    <w:rsid w:val="00F457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8291">
      <w:bodyDiv w:val="1"/>
      <w:marLeft w:val="0"/>
      <w:marRight w:val="0"/>
      <w:marTop w:val="0"/>
      <w:marBottom w:val="0"/>
      <w:divBdr>
        <w:top w:val="none" w:sz="0" w:space="0" w:color="auto"/>
        <w:left w:val="none" w:sz="0" w:space="0" w:color="auto"/>
        <w:bottom w:val="none" w:sz="0" w:space="0" w:color="auto"/>
        <w:right w:val="none" w:sz="0" w:space="0" w:color="auto"/>
      </w:divBdr>
    </w:div>
    <w:div w:id="756560618">
      <w:bodyDiv w:val="1"/>
      <w:marLeft w:val="0"/>
      <w:marRight w:val="0"/>
      <w:marTop w:val="0"/>
      <w:marBottom w:val="0"/>
      <w:divBdr>
        <w:top w:val="none" w:sz="0" w:space="0" w:color="auto"/>
        <w:left w:val="none" w:sz="0" w:space="0" w:color="auto"/>
        <w:bottom w:val="none" w:sz="0" w:space="0" w:color="auto"/>
        <w:right w:val="none" w:sz="0" w:space="0" w:color="auto"/>
      </w:divBdr>
    </w:div>
    <w:div w:id="12185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2/01/C1547-vcod-faq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england.nhs.uk/coronavirus/wp-content/uploads/sites/52/2022/01/C1545-update-vcod-for-healthcare-workers-phase-2-implementat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FBFE-3B7C-484B-8FDE-A0612590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LMC letterhead</Template>
  <TotalTime>0</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Sandra Rodbourne</cp:lastModifiedBy>
  <cp:revision>2</cp:revision>
  <cp:lastPrinted>2022-01-17T10:26:00Z</cp:lastPrinted>
  <dcterms:created xsi:type="dcterms:W3CDTF">2022-01-18T14:11:00Z</dcterms:created>
  <dcterms:modified xsi:type="dcterms:W3CDTF">2022-01-18T14:11:00Z</dcterms:modified>
</cp:coreProperties>
</file>