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FAD03" w14:textId="76D547DE" w:rsidR="008F153F" w:rsidRDefault="008F153F" w:rsidP="005D45F8">
      <w:pPr>
        <w:spacing w:after="0" w:line="240" w:lineRule="auto"/>
        <w:rPr>
          <w:rFonts w:ascii="Bliss 2 Light" w:eastAsia="Calibri" w:hAnsi="Bliss 2 Light" w:cs="Calibri"/>
          <w:sz w:val="24"/>
          <w:szCs w:val="24"/>
          <w:lang w:eastAsia="en-GB"/>
        </w:rPr>
      </w:pPr>
      <w:bookmarkStart w:id="0" w:name="_Hlk82089913"/>
    </w:p>
    <w:p w14:paraId="6F331A30" w14:textId="16809E19" w:rsidR="005D45F8" w:rsidRDefault="005D45F8" w:rsidP="005D45F8">
      <w:pPr>
        <w:spacing w:after="0" w:line="240" w:lineRule="auto"/>
        <w:rPr>
          <w:rFonts w:ascii="Bliss 2 Light" w:eastAsia="Calibri" w:hAnsi="Bliss 2 Light" w:cs="Calibri"/>
          <w:sz w:val="24"/>
          <w:szCs w:val="24"/>
          <w:lang w:eastAsia="en-GB"/>
        </w:rPr>
      </w:pPr>
    </w:p>
    <w:p w14:paraId="3DE14320" w14:textId="77777777" w:rsidR="00214468" w:rsidRPr="00214468" w:rsidRDefault="00214468" w:rsidP="00214468">
      <w:pPr>
        <w:spacing w:after="0" w:line="240" w:lineRule="auto"/>
        <w:rPr>
          <w:rFonts w:ascii="Bliss 2 Light" w:eastAsia="Calibri" w:hAnsi="Bliss 2 Light" w:cs="Times New Roman"/>
          <w:sz w:val="24"/>
        </w:rPr>
      </w:pPr>
      <w:r w:rsidRPr="00214468">
        <w:rPr>
          <w:rFonts w:ascii="Bliss 2 Light" w:eastAsia="Calibri" w:hAnsi="Bliss 2 Light" w:cs="Times New Roman"/>
          <w:sz w:val="24"/>
        </w:rPr>
        <w:t>8</w:t>
      </w:r>
      <w:r w:rsidRPr="00214468">
        <w:rPr>
          <w:rFonts w:ascii="Bliss 2 Light" w:eastAsia="Calibri" w:hAnsi="Bliss 2 Light" w:cs="Times New Roman"/>
          <w:sz w:val="24"/>
          <w:vertAlign w:val="superscript"/>
        </w:rPr>
        <w:t>th</w:t>
      </w:r>
      <w:r w:rsidRPr="00214468">
        <w:rPr>
          <w:rFonts w:ascii="Bliss 2 Light" w:eastAsia="Calibri" w:hAnsi="Bliss 2 Light" w:cs="Times New Roman"/>
          <w:sz w:val="24"/>
        </w:rPr>
        <w:t xml:space="preserve"> December 2021</w:t>
      </w:r>
    </w:p>
    <w:p w14:paraId="05D8F008" w14:textId="77777777" w:rsidR="00214468" w:rsidRPr="00214468" w:rsidRDefault="00214468" w:rsidP="00214468">
      <w:pPr>
        <w:spacing w:after="0" w:line="240" w:lineRule="auto"/>
        <w:rPr>
          <w:rFonts w:ascii="Bliss 2 Light" w:eastAsia="Calibri" w:hAnsi="Bliss 2 Light" w:cs="Times New Roman"/>
          <w:sz w:val="24"/>
        </w:rPr>
      </w:pPr>
    </w:p>
    <w:p w14:paraId="6E7D085E" w14:textId="77777777" w:rsidR="00214468" w:rsidRPr="00214468" w:rsidRDefault="00214468" w:rsidP="00214468">
      <w:pPr>
        <w:spacing w:after="0" w:line="240" w:lineRule="auto"/>
        <w:rPr>
          <w:rFonts w:ascii="Bliss 2 Light" w:eastAsia="Calibri" w:hAnsi="Bliss 2 Light" w:cs="Times New Roman"/>
          <w:sz w:val="24"/>
        </w:rPr>
      </w:pPr>
    </w:p>
    <w:p w14:paraId="4DB6F775" w14:textId="77777777" w:rsidR="00214468" w:rsidRPr="00214468" w:rsidRDefault="00214468" w:rsidP="00214468">
      <w:pPr>
        <w:spacing w:after="0" w:line="240" w:lineRule="auto"/>
        <w:rPr>
          <w:rFonts w:ascii="Bliss 2 Light" w:eastAsia="Calibri" w:hAnsi="Bliss 2 Light" w:cs="Times New Roman"/>
          <w:sz w:val="24"/>
        </w:rPr>
      </w:pPr>
    </w:p>
    <w:p w14:paraId="7F402056" w14:textId="77777777" w:rsidR="00214468" w:rsidRPr="00214468" w:rsidRDefault="00214468" w:rsidP="00214468">
      <w:pPr>
        <w:spacing w:after="0" w:line="240" w:lineRule="auto"/>
        <w:rPr>
          <w:rFonts w:ascii="Bliss 2 Light" w:eastAsia="Calibri" w:hAnsi="Bliss 2 Light" w:cs="Times New Roman"/>
          <w:b/>
          <w:bCs/>
          <w:sz w:val="24"/>
        </w:rPr>
      </w:pPr>
      <w:r w:rsidRPr="00214468">
        <w:rPr>
          <w:rFonts w:ascii="Bliss 2 Light" w:eastAsia="Calibri" w:hAnsi="Bliss 2 Light" w:cs="Times New Roman"/>
          <w:b/>
          <w:bCs/>
          <w:sz w:val="24"/>
        </w:rPr>
        <w:t>To all practices in Surrey &amp; Sussex LMCs</w:t>
      </w:r>
    </w:p>
    <w:p w14:paraId="5A258577" w14:textId="77777777" w:rsidR="00214468" w:rsidRPr="00214468" w:rsidRDefault="00214468" w:rsidP="00214468">
      <w:pPr>
        <w:spacing w:after="0" w:line="240" w:lineRule="auto"/>
        <w:rPr>
          <w:rFonts w:ascii="Bliss 2 Light" w:eastAsia="Calibri" w:hAnsi="Bliss 2 Light" w:cs="Times New Roman"/>
          <w:b/>
          <w:bCs/>
          <w:sz w:val="24"/>
        </w:rPr>
      </w:pPr>
    </w:p>
    <w:p w14:paraId="6C7E1ABE" w14:textId="77777777" w:rsidR="00214468" w:rsidRPr="00214468" w:rsidRDefault="00214468" w:rsidP="00214468">
      <w:pPr>
        <w:spacing w:after="0" w:line="240" w:lineRule="auto"/>
        <w:rPr>
          <w:rFonts w:ascii="Bliss 2 Light" w:eastAsia="Calibri" w:hAnsi="Bliss 2 Light" w:cs="Times New Roman"/>
          <w:b/>
          <w:bCs/>
          <w:sz w:val="24"/>
        </w:rPr>
      </w:pPr>
    </w:p>
    <w:p w14:paraId="3CD4D62C" w14:textId="77777777" w:rsidR="00214468" w:rsidRPr="00214468" w:rsidRDefault="00214468" w:rsidP="00214468">
      <w:pPr>
        <w:spacing w:after="0" w:line="240" w:lineRule="auto"/>
        <w:rPr>
          <w:rFonts w:ascii="Bliss 2 Light" w:eastAsia="Calibri" w:hAnsi="Bliss 2 Light" w:cs="Times New Roman"/>
          <w:sz w:val="24"/>
        </w:rPr>
      </w:pPr>
      <w:r w:rsidRPr="00214468">
        <w:rPr>
          <w:rFonts w:ascii="Bliss 2 Light" w:eastAsia="Calibri" w:hAnsi="Bliss 2 Light" w:cs="Times New Roman"/>
          <w:sz w:val="24"/>
        </w:rPr>
        <w:t>Dear Colleagues</w:t>
      </w:r>
    </w:p>
    <w:p w14:paraId="4C29263B" w14:textId="77777777" w:rsidR="00214468" w:rsidRPr="00214468" w:rsidRDefault="00214468" w:rsidP="00214468">
      <w:pPr>
        <w:spacing w:after="0" w:line="240" w:lineRule="auto"/>
        <w:rPr>
          <w:rFonts w:ascii="Bliss 2 Light" w:eastAsia="Calibri" w:hAnsi="Bliss 2 Light" w:cs="Times New Roman"/>
          <w:b/>
          <w:bCs/>
          <w:sz w:val="24"/>
        </w:rPr>
      </w:pPr>
    </w:p>
    <w:p w14:paraId="61AC93E0" w14:textId="77777777" w:rsidR="00214468" w:rsidRPr="00214468" w:rsidRDefault="00214468" w:rsidP="00214468">
      <w:pPr>
        <w:spacing w:after="0" w:line="240" w:lineRule="auto"/>
        <w:rPr>
          <w:rFonts w:ascii="Bliss 2 Light" w:eastAsia="Calibri" w:hAnsi="Bliss 2 Light" w:cs="Times New Roman"/>
          <w:b/>
          <w:bCs/>
          <w:sz w:val="28"/>
          <w:szCs w:val="28"/>
        </w:rPr>
      </w:pPr>
      <w:r w:rsidRPr="00214468">
        <w:rPr>
          <w:rFonts w:ascii="Bliss 2 Light" w:eastAsia="Calibri" w:hAnsi="Bliss 2 Light" w:cs="Times New Roman"/>
          <w:b/>
          <w:bCs/>
          <w:sz w:val="28"/>
          <w:szCs w:val="28"/>
        </w:rPr>
        <w:t>Update:  NHS England GP Contract changes December 2021 – March 2022</w:t>
      </w:r>
    </w:p>
    <w:p w14:paraId="34B1EE8A" w14:textId="77777777" w:rsidR="00214468" w:rsidRPr="00214468" w:rsidRDefault="00214468" w:rsidP="00214468">
      <w:pPr>
        <w:spacing w:after="0" w:line="240" w:lineRule="auto"/>
        <w:rPr>
          <w:rFonts w:ascii="Bliss 2 Light" w:eastAsia="Calibri" w:hAnsi="Bliss 2 Light" w:cs="Times New Roman"/>
          <w:b/>
          <w:bCs/>
          <w:sz w:val="28"/>
          <w:szCs w:val="28"/>
        </w:rPr>
      </w:pPr>
    </w:p>
    <w:p w14:paraId="2918E8C5" w14:textId="77777777" w:rsidR="00214468" w:rsidRPr="00214468" w:rsidRDefault="00214468" w:rsidP="00214468">
      <w:pPr>
        <w:spacing w:after="0" w:line="240" w:lineRule="auto"/>
        <w:rPr>
          <w:rFonts w:ascii="Bliss 2 Light" w:eastAsia="Calibri" w:hAnsi="Bliss 2 Light" w:cs="Times New Roman"/>
          <w:sz w:val="24"/>
          <w:szCs w:val="24"/>
        </w:rPr>
      </w:pPr>
      <w:r w:rsidRPr="00214468">
        <w:rPr>
          <w:rFonts w:ascii="Bliss 2 Light" w:eastAsia="Calibri" w:hAnsi="Bliss 2 Light" w:cs="Times New Roman"/>
          <w:sz w:val="24"/>
          <w:szCs w:val="24"/>
        </w:rPr>
        <w:t>I am writing further to my letter of 7</w:t>
      </w:r>
      <w:r w:rsidRPr="00214468">
        <w:rPr>
          <w:rFonts w:ascii="Bliss 2 Light" w:eastAsia="Calibri" w:hAnsi="Bliss 2 Light" w:cs="Times New Roman"/>
          <w:sz w:val="24"/>
          <w:szCs w:val="24"/>
          <w:vertAlign w:val="superscript"/>
        </w:rPr>
        <w:t>th</w:t>
      </w:r>
      <w:r w:rsidRPr="00214468">
        <w:rPr>
          <w:rFonts w:ascii="Bliss 2 Light" w:eastAsia="Calibri" w:hAnsi="Bliss 2 Light" w:cs="Times New Roman"/>
          <w:sz w:val="24"/>
          <w:szCs w:val="24"/>
        </w:rPr>
        <w:t xml:space="preserve"> December as NHS England has now published further details of the temporary 2021/22 GP Contract changes being made.  These acknowledge the impact of the JCVI [Joint Committee on Vaccination and Immunisations] guidance in the light of the emerging Omicron variant and the COVID-19 Vaccination Programme.</w:t>
      </w:r>
    </w:p>
    <w:p w14:paraId="3BA68FBB" w14:textId="77777777" w:rsidR="00214468" w:rsidRPr="00214468" w:rsidRDefault="00214468" w:rsidP="00214468">
      <w:pPr>
        <w:spacing w:after="0" w:line="240" w:lineRule="auto"/>
        <w:rPr>
          <w:rFonts w:ascii="Bliss 2 Light" w:eastAsia="Calibri" w:hAnsi="Bliss 2 Light" w:cs="Times New Roman"/>
          <w:sz w:val="24"/>
          <w:szCs w:val="24"/>
        </w:rPr>
      </w:pPr>
    </w:p>
    <w:p w14:paraId="7FE4BB51" w14:textId="77777777" w:rsidR="00214468" w:rsidRPr="00214468" w:rsidRDefault="00214468" w:rsidP="00214468">
      <w:pPr>
        <w:spacing w:after="0" w:line="240" w:lineRule="auto"/>
        <w:rPr>
          <w:rFonts w:ascii="Bliss 2 Light" w:eastAsia="Calibri" w:hAnsi="Bliss 2 Light" w:cs="Times New Roman"/>
          <w:b/>
          <w:bCs/>
          <w:sz w:val="24"/>
          <w:szCs w:val="24"/>
        </w:rPr>
      </w:pPr>
      <w:r w:rsidRPr="00214468">
        <w:rPr>
          <w:rFonts w:ascii="Bliss 2 Light" w:eastAsia="Calibri" w:hAnsi="Bliss 2 Light" w:cs="Times New Roman"/>
          <w:b/>
          <w:bCs/>
          <w:sz w:val="24"/>
          <w:szCs w:val="24"/>
        </w:rPr>
        <w:t>Colleagues should use the accompanying NHSE guidance for further details, referenced QOF tables are in Appendices 1 and 2 of this letter and Appendices 3 and 4 refer to IIF indicators.</w:t>
      </w:r>
    </w:p>
    <w:p w14:paraId="04F31016" w14:textId="77777777" w:rsidR="00214468" w:rsidRPr="00214468" w:rsidRDefault="00214468" w:rsidP="00214468">
      <w:pPr>
        <w:spacing w:after="0" w:line="240" w:lineRule="auto"/>
        <w:rPr>
          <w:rFonts w:ascii="Bliss 2 Light" w:eastAsia="Calibri" w:hAnsi="Bliss 2 Light" w:cs="Times New Roman"/>
          <w:b/>
          <w:bCs/>
          <w:sz w:val="24"/>
          <w:szCs w:val="24"/>
        </w:rPr>
      </w:pPr>
    </w:p>
    <w:p w14:paraId="7BBCC0A1" w14:textId="77777777" w:rsidR="00214468" w:rsidRPr="00214468" w:rsidRDefault="00214468" w:rsidP="00214468">
      <w:pPr>
        <w:spacing w:after="0" w:line="240" w:lineRule="auto"/>
        <w:rPr>
          <w:rFonts w:ascii="Bliss 2 Light" w:eastAsia="Calibri" w:hAnsi="Bliss 2 Light" w:cs="Times New Roman"/>
          <w:sz w:val="24"/>
          <w:szCs w:val="24"/>
        </w:rPr>
      </w:pPr>
      <w:r w:rsidRPr="00214468">
        <w:rPr>
          <w:rFonts w:ascii="Bliss 2 Light" w:eastAsia="Calibri" w:hAnsi="Bliss 2 Light" w:cs="Times New Roman"/>
          <w:sz w:val="24"/>
          <w:szCs w:val="24"/>
        </w:rPr>
        <w:t>In summary:</w:t>
      </w:r>
    </w:p>
    <w:p w14:paraId="1336D9E0" w14:textId="77777777" w:rsidR="00214468" w:rsidRPr="00214468" w:rsidRDefault="00214468" w:rsidP="00214468">
      <w:pPr>
        <w:spacing w:after="0" w:line="240" w:lineRule="auto"/>
        <w:rPr>
          <w:rFonts w:ascii="Bliss 2 Light" w:eastAsia="Calibri" w:hAnsi="Bliss 2 Light" w:cs="Times New Roman"/>
          <w:sz w:val="24"/>
          <w:szCs w:val="24"/>
        </w:rPr>
      </w:pPr>
    </w:p>
    <w:p w14:paraId="3A5123BE" w14:textId="77777777" w:rsidR="00214468" w:rsidRPr="00214468" w:rsidRDefault="00214468" w:rsidP="00214468">
      <w:pPr>
        <w:spacing w:after="0" w:line="240" w:lineRule="auto"/>
        <w:rPr>
          <w:rFonts w:ascii="Bliss 2 Light" w:eastAsia="Calibri" w:hAnsi="Bliss 2 Light" w:cs="Times New Roman"/>
          <w:b/>
          <w:bCs/>
          <w:sz w:val="24"/>
          <w:szCs w:val="24"/>
        </w:rPr>
      </w:pPr>
      <w:r w:rsidRPr="00214468">
        <w:rPr>
          <w:rFonts w:ascii="Bliss 2 Light" w:eastAsia="Calibri" w:hAnsi="Bliss 2 Light" w:cs="Times New Roman"/>
          <w:b/>
          <w:bCs/>
          <w:sz w:val="24"/>
          <w:szCs w:val="24"/>
        </w:rPr>
        <w:t>QOF</w:t>
      </w:r>
    </w:p>
    <w:p w14:paraId="55D500CC" w14:textId="77777777" w:rsidR="00214468" w:rsidRPr="00214468" w:rsidRDefault="00214468" w:rsidP="00214468">
      <w:pPr>
        <w:spacing w:after="0" w:line="240" w:lineRule="auto"/>
        <w:rPr>
          <w:rFonts w:ascii="Bliss 2 Light" w:eastAsia="Calibri" w:hAnsi="Bliss 2 Light" w:cs="Times New Roman"/>
          <w:b/>
          <w:bCs/>
          <w:sz w:val="24"/>
          <w:szCs w:val="24"/>
        </w:rPr>
      </w:pPr>
    </w:p>
    <w:p w14:paraId="678C649A" w14:textId="77777777" w:rsidR="00214468" w:rsidRPr="00214468" w:rsidRDefault="00214468" w:rsidP="00214468">
      <w:pPr>
        <w:spacing w:after="0" w:line="240" w:lineRule="auto"/>
        <w:rPr>
          <w:rFonts w:ascii="Bliss 2 Light" w:eastAsia="Calibri" w:hAnsi="Bliss 2 Light" w:cs="Times New Roman"/>
          <w:sz w:val="24"/>
          <w:szCs w:val="24"/>
        </w:rPr>
      </w:pPr>
      <w:r w:rsidRPr="00214468">
        <w:rPr>
          <w:rFonts w:ascii="Bliss 2 Light" w:eastAsia="Calibri" w:hAnsi="Bliss 2 Light" w:cs="Times New Roman"/>
          <w:sz w:val="24"/>
          <w:szCs w:val="24"/>
        </w:rPr>
        <w:t>The following QOF indicators will be paid on 2021/22 practice performance.</w:t>
      </w:r>
    </w:p>
    <w:p w14:paraId="0FFC67A0" w14:textId="77777777" w:rsidR="00214468" w:rsidRPr="00214468" w:rsidRDefault="00214468" w:rsidP="00214468">
      <w:pPr>
        <w:spacing w:after="0" w:line="240" w:lineRule="auto"/>
        <w:rPr>
          <w:rFonts w:ascii="Bliss 2 Light" w:eastAsia="Calibri" w:hAnsi="Bliss 2 Light" w:cs="Times New Roman"/>
          <w:sz w:val="24"/>
          <w:szCs w:val="24"/>
        </w:rPr>
      </w:pPr>
    </w:p>
    <w:p w14:paraId="61202C61" w14:textId="77777777" w:rsidR="00214468" w:rsidRPr="00214468" w:rsidRDefault="00214468" w:rsidP="00214468">
      <w:pPr>
        <w:numPr>
          <w:ilvl w:val="0"/>
          <w:numId w:val="9"/>
        </w:numPr>
        <w:spacing w:after="0" w:line="240" w:lineRule="auto"/>
        <w:contextualSpacing/>
        <w:rPr>
          <w:rFonts w:ascii="Bliss 2 Light" w:eastAsia="Calibri" w:hAnsi="Bliss 2 Light" w:cs="Times New Roman"/>
          <w:sz w:val="24"/>
          <w:szCs w:val="24"/>
        </w:rPr>
      </w:pPr>
      <w:r w:rsidRPr="00214468">
        <w:rPr>
          <w:rFonts w:ascii="Bliss 2 Light" w:eastAsia="Calibri" w:hAnsi="Bliss 2 Light" w:cs="Times New Roman"/>
          <w:sz w:val="24"/>
          <w:szCs w:val="24"/>
        </w:rPr>
        <w:t>The four vaccination and two immunisation indicators (table 1) 75 points.</w:t>
      </w:r>
    </w:p>
    <w:p w14:paraId="2A537B7A" w14:textId="77777777" w:rsidR="00214468" w:rsidRPr="00214468" w:rsidRDefault="00214468" w:rsidP="00214468">
      <w:pPr>
        <w:spacing w:after="0" w:line="240" w:lineRule="auto"/>
        <w:ind w:left="720"/>
        <w:contextualSpacing/>
        <w:rPr>
          <w:rFonts w:ascii="Bliss 2 Light" w:eastAsia="Calibri" w:hAnsi="Bliss 2 Light" w:cs="Times New Roman"/>
          <w:sz w:val="24"/>
          <w:szCs w:val="24"/>
        </w:rPr>
      </w:pPr>
    </w:p>
    <w:p w14:paraId="5FB4C2EC" w14:textId="77777777" w:rsidR="00214468" w:rsidRPr="00214468" w:rsidRDefault="00214468" w:rsidP="00214468">
      <w:pPr>
        <w:numPr>
          <w:ilvl w:val="0"/>
          <w:numId w:val="9"/>
        </w:numPr>
        <w:spacing w:after="0" w:line="240" w:lineRule="auto"/>
        <w:contextualSpacing/>
        <w:rPr>
          <w:rFonts w:ascii="Bliss 2 Light" w:eastAsia="Calibri" w:hAnsi="Bliss 2 Light" w:cs="Times New Roman"/>
          <w:sz w:val="24"/>
          <w:szCs w:val="24"/>
        </w:rPr>
      </w:pPr>
      <w:r w:rsidRPr="00214468">
        <w:rPr>
          <w:rFonts w:ascii="Bliss 2 Light" w:eastAsia="Calibri" w:hAnsi="Bliss 2 Light" w:cs="Times New Roman"/>
          <w:sz w:val="24"/>
          <w:szCs w:val="24"/>
        </w:rPr>
        <w:t>The eight prescribing indicators (table 2).  These will have an enhanced QOF point value of 46 points, giving a value of 90 points in total.</w:t>
      </w:r>
    </w:p>
    <w:p w14:paraId="34A6BC24" w14:textId="77777777" w:rsidR="00214468" w:rsidRPr="00214468" w:rsidRDefault="00214468" w:rsidP="00214468">
      <w:pPr>
        <w:spacing w:after="0" w:line="240" w:lineRule="auto"/>
        <w:rPr>
          <w:rFonts w:ascii="Bliss 2 Light" w:eastAsia="Calibri" w:hAnsi="Bliss 2 Light" w:cs="Times New Roman"/>
          <w:sz w:val="24"/>
          <w:szCs w:val="24"/>
        </w:rPr>
      </w:pPr>
    </w:p>
    <w:p w14:paraId="7B8C73D6" w14:textId="77777777" w:rsidR="00214468" w:rsidRPr="00214468" w:rsidRDefault="00214468" w:rsidP="00214468">
      <w:pPr>
        <w:numPr>
          <w:ilvl w:val="0"/>
          <w:numId w:val="9"/>
        </w:numPr>
        <w:spacing w:after="0" w:line="240" w:lineRule="auto"/>
        <w:contextualSpacing/>
        <w:rPr>
          <w:rFonts w:ascii="Bliss 2 Light" w:eastAsia="Calibri" w:hAnsi="Bliss 2 Light" w:cs="Times New Roman"/>
          <w:sz w:val="24"/>
          <w:szCs w:val="24"/>
        </w:rPr>
      </w:pPr>
      <w:r w:rsidRPr="00214468">
        <w:rPr>
          <w:rFonts w:ascii="Bliss 2 Light" w:eastAsia="Calibri" w:hAnsi="Bliss 2 Light" w:cs="Times New Roman"/>
          <w:sz w:val="24"/>
          <w:szCs w:val="24"/>
        </w:rPr>
        <w:t>The nineteen disease register indicators (table 3) 81 points.</w:t>
      </w:r>
    </w:p>
    <w:p w14:paraId="5644D2E0" w14:textId="77777777" w:rsidR="00214468" w:rsidRPr="00214468" w:rsidRDefault="00214468" w:rsidP="00214468">
      <w:pPr>
        <w:spacing w:after="0" w:line="240" w:lineRule="auto"/>
        <w:ind w:left="720"/>
        <w:contextualSpacing/>
        <w:rPr>
          <w:rFonts w:ascii="Bliss 2 Light" w:eastAsia="Calibri" w:hAnsi="Bliss 2 Light" w:cs="Times New Roman"/>
          <w:sz w:val="24"/>
          <w:szCs w:val="24"/>
        </w:rPr>
      </w:pPr>
    </w:p>
    <w:p w14:paraId="295AB836" w14:textId="77777777" w:rsidR="00214468" w:rsidRPr="00214468" w:rsidRDefault="00214468" w:rsidP="00214468">
      <w:pPr>
        <w:spacing w:after="0" w:line="240" w:lineRule="auto"/>
        <w:rPr>
          <w:rFonts w:ascii="Bliss 2 Light" w:eastAsia="Calibri" w:hAnsi="Bliss 2 Light" w:cs="Times New Roman"/>
          <w:sz w:val="24"/>
          <w:szCs w:val="24"/>
        </w:rPr>
      </w:pPr>
      <w:r w:rsidRPr="00214468">
        <w:rPr>
          <w:rFonts w:ascii="Bliss 2 Light" w:eastAsia="Calibri" w:hAnsi="Bliss 2 Light" w:cs="Times New Roman"/>
          <w:sz w:val="24"/>
          <w:szCs w:val="24"/>
        </w:rPr>
        <w:t>The QI [Quality Improvement] domain will be paid in full (Table 7).</w:t>
      </w:r>
    </w:p>
    <w:p w14:paraId="1859CB7B" w14:textId="77777777" w:rsidR="00214468" w:rsidRPr="00214468" w:rsidRDefault="00214468" w:rsidP="00214468">
      <w:pPr>
        <w:spacing w:after="0" w:line="240" w:lineRule="auto"/>
        <w:rPr>
          <w:rFonts w:ascii="Bliss 2 Light" w:eastAsia="Calibri" w:hAnsi="Bliss 2 Light" w:cs="Times New Roman"/>
          <w:sz w:val="24"/>
          <w:szCs w:val="24"/>
        </w:rPr>
      </w:pPr>
    </w:p>
    <w:p w14:paraId="47DFFBAF" w14:textId="77777777" w:rsidR="00214468" w:rsidRPr="00214468" w:rsidRDefault="00214468" w:rsidP="00214468">
      <w:pPr>
        <w:spacing w:after="0" w:line="240" w:lineRule="auto"/>
        <w:rPr>
          <w:rFonts w:ascii="Bliss 2 Light" w:eastAsia="Calibri" w:hAnsi="Bliss 2 Light" w:cs="Times New Roman"/>
          <w:sz w:val="24"/>
          <w:szCs w:val="24"/>
        </w:rPr>
      </w:pPr>
      <w:r w:rsidRPr="00214468">
        <w:rPr>
          <w:rFonts w:ascii="Bliss 2 Light" w:eastAsia="Calibri" w:hAnsi="Bliss 2 Light" w:cs="Times New Roman"/>
          <w:sz w:val="24"/>
          <w:szCs w:val="24"/>
        </w:rPr>
        <w:t>The QOF indicators newly introduced in 2021/22, for which there is no historic performance which can be used as the basis for income protection, are being reallocated, their points (46) are moving to the eight prescribing indicators, as above.(table 4)</w:t>
      </w:r>
    </w:p>
    <w:p w14:paraId="76C745C8" w14:textId="77777777" w:rsidR="00214468" w:rsidRPr="00214468" w:rsidRDefault="00214468" w:rsidP="00214468">
      <w:pPr>
        <w:spacing w:after="0" w:line="240" w:lineRule="auto"/>
        <w:rPr>
          <w:rFonts w:ascii="Bliss 2 Light" w:eastAsia="Calibri" w:hAnsi="Bliss 2 Light" w:cs="Times New Roman"/>
          <w:sz w:val="24"/>
          <w:szCs w:val="24"/>
        </w:rPr>
      </w:pPr>
    </w:p>
    <w:p w14:paraId="55CD085C" w14:textId="77777777" w:rsidR="00214468" w:rsidRPr="00214468" w:rsidRDefault="00214468" w:rsidP="00214468">
      <w:pPr>
        <w:spacing w:after="0" w:line="240" w:lineRule="auto"/>
        <w:rPr>
          <w:rFonts w:ascii="Bliss 2 Light" w:eastAsia="Calibri" w:hAnsi="Bliss 2 Light" w:cs="Times New Roman"/>
          <w:sz w:val="24"/>
          <w:szCs w:val="24"/>
        </w:rPr>
      </w:pPr>
      <w:r w:rsidRPr="00214468">
        <w:rPr>
          <w:rFonts w:ascii="Bliss 2 Light" w:eastAsia="Calibri" w:hAnsi="Bliss 2 Light" w:cs="Times New Roman"/>
          <w:sz w:val="24"/>
          <w:szCs w:val="24"/>
        </w:rPr>
        <w:t>The remaining QOF indicators will be income protected either on 2018/19 achievement (table 5), or, in the case of indicators relating to diabetes and hypertension, the 2019/20 achievement (table 6) .  These represent 244 and 71 points respectively.</w:t>
      </w:r>
    </w:p>
    <w:p w14:paraId="35C69142" w14:textId="77777777" w:rsidR="00214468" w:rsidRPr="00214468" w:rsidRDefault="00214468" w:rsidP="00214468">
      <w:pPr>
        <w:spacing w:after="0" w:line="240" w:lineRule="auto"/>
        <w:rPr>
          <w:rFonts w:ascii="Bliss 2 Light" w:eastAsia="Calibri" w:hAnsi="Bliss 2 Light" w:cs="Times New Roman"/>
          <w:sz w:val="24"/>
          <w:szCs w:val="24"/>
        </w:rPr>
      </w:pPr>
    </w:p>
    <w:p w14:paraId="61A1B2DF" w14:textId="77777777" w:rsidR="00214468" w:rsidRDefault="00214468" w:rsidP="00214468">
      <w:pPr>
        <w:spacing w:after="0" w:line="240" w:lineRule="auto"/>
        <w:rPr>
          <w:rFonts w:ascii="Bliss 2 Light" w:eastAsia="Calibri" w:hAnsi="Bliss 2 Light" w:cs="Times New Roman"/>
          <w:sz w:val="24"/>
          <w:szCs w:val="24"/>
        </w:rPr>
      </w:pPr>
    </w:p>
    <w:p w14:paraId="323EB2AB" w14:textId="77777777" w:rsidR="00214468" w:rsidRDefault="00214468" w:rsidP="00214468">
      <w:pPr>
        <w:spacing w:after="0" w:line="240" w:lineRule="auto"/>
        <w:rPr>
          <w:rFonts w:ascii="Bliss 2 Light" w:eastAsia="Calibri" w:hAnsi="Bliss 2 Light" w:cs="Times New Roman"/>
          <w:sz w:val="24"/>
          <w:szCs w:val="24"/>
        </w:rPr>
      </w:pPr>
    </w:p>
    <w:p w14:paraId="1DBF50AB" w14:textId="13580183" w:rsidR="00214468" w:rsidRPr="00214468" w:rsidRDefault="00214468" w:rsidP="00214468">
      <w:pPr>
        <w:spacing w:after="0" w:line="240" w:lineRule="auto"/>
        <w:rPr>
          <w:rFonts w:ascii="Bliss 2 Light" w:eastAsia="Calibri" w:hAnsi="Bliss 2 Light" w:cs="Times New Roman"/>
          <w:sz w:val="24"/>
          <w:szCs w:val="24"/>
        </w:rPr>
      </w:pPr>
      <w:r w:rsidRPr="00214468">
        <w:rPr>
          <w:rFonts w:ascii="Bliss 2 Light" w:eastAsia="Calibri" w:hAnsi="Bliss 2 Light" w:cs="Times New Roman"/>
          <w:sz w:val="24"/>
          <w:szCs w:val="24"/>
        </w:rPr>
        <w:t>As noted in my earlier letter, the LMC has contacted your CCG to initiate a confirmatory assurance process so that practices will be eligible for income protection; eligibility applies to all practices regardless of their participation in the COVID Vaccination Enhanced Service.</w:t>
      </w:r>
    </w:p>
    <w:p w14:paraId="4F8672BB" w14:textId="77777777" w:rsidR="00214468" w:rsidRPr="00214468" w:rsidRDefault="00214468" w:rsidP="00214468">
      <w:pPr>
        <w:spacing w:after="0" w:line="240" w:lineRule="auto"/>
        <w:rPr>
          <w:rFonts w:ascii="Bliss 2 Light" w:eastAsia="Calibri" w:hAnsi="Bliss 2 Light" w:cs="Times New Roman"/>
          <w:sz w:val="24"/>
          <w:szCs w:val="24"/>
        </w:rPr>
      </w:pPr>
    </w:p>
    <w:p w14:paraId="73EC5C21" w14:textId="77777777" w:rsidR="00214468" w:rsidRPr="00214468" w:rsidRDefault="00214468" w:rsidP="00214468">
      <w:pPr>
        <w:spacing w:after="0" w:line="240" w:lineRule="auto"/>
        <w:rPr>
          <w:rFonts w:ascii="Bliss 2 Light" w:eastAsia="Calibri" w:hAnsi="Bliss 2 Light" w:cs="Times New Roman"/>
          <w:sz w:val="24"/>
          <w:szCs w:val="24"/>
        </w:rPr>
      </w:pPr>
      <w:r w:rsidRPr="00214468">
        <w:rPr>
          <w:rFonts w:ascii="Bliss 2 Light" w:eastAsia="Calibri" w:hAnsi="Bliss 2 Light" w:cs="Times New Roman"/>
          <w:sz w:val="24"/>
          <w:szCs w:val="24"/>
        </w:rPr>
        <w:t>Colleagues should note all QOF activity that is undertaken should be coded and CQRS will continue to operate.  Aspiration payments will be made as usual, but NHSE have warned there may be a delay in 2021/22 QOF (and also IIF) payments. Under current plans, QOF will recommence from April 2022.</w:t>
      </w:r>
    </w:p>
    <w:p w14:paraId="4D9742EB" w14:textId="77777777" w:rsidR="00214468" w:rsidRPr="00214468" w:rsidRDefault="00214468" w:rsidP="00214468">
      <w:pPr>
        <w:spacing w:after="0" w:line="240" w:lineRule="auto"/>
        <w:rPr>
          <w:rFonts w:ascii="Bliss 2 Light" w:eastAsia="Calibri" w:hAnsi="Bliss 2 Light" w:cs="Times New Roman"/>
          <w:sz w:val="24"/>
          <w:szCs w:val="24"/>
        </w:rPr>
      </w:pPr>
    </w:p>
    <w:p w14:paraId="3EEEFE9F" w14:textId="77777777" w:rsidR="00214468" w:rsidRPr="00214468" w:rsidRDefault="00214468" w:rsidP="00214468">
      <w:pPr>
        <w:spacing w:after="0" w:line="240" w:lineRule="auto"/>
        <w:rPr>
          <w:rFonts w:ascii="Bliss 2 Light" w:eastAsia="Calibri" w:hAnsi="Bliss 2 Light" w:cs="Times New Roman"/>
          <w:sz w:val="24"/>
          <w:szCs w:val="24"/>
        </w:rPr>
      </w:pPr>
    </w:p>
    <w:p w14:paraId="71AAFE03" w14:textId="77777777" w:rsidR="00214468" w:rsidRPr="00214468" w:rsidRDefault="00214468" w:rsidP="00214468">
      <w:pPr>
        <w:spacing w:after="0" w:line="240" w:lineRule="auto"/>
        <w:rPr>
          <w:rFonts w:ascii="Bliss 2 Light" w:eastAsia="Calibri" w:hAnsi="Bliss 2 Light" w:cs="Times New Roman"/>
          <w:b/>
          <w:bCs/>
          <w:sz w:val="24"/>
          <w:szCs w:val="24"/>
        </w:rPr>
      </w:pPr>
      <w:r w:rsidRPr="00214468">
        <w:rPr>
          <w:rFonts w:ascii="Bliss 2 Light" w:eastAsia="Calibri" w:hAnsi="Bliss 2 Light" w:cs="Times New Roman"/>
          <w:b/>
          <w:bCs/>
          <w:sz w:val="24"/>
          <w:szCs w:val="24"/>
        </w:rPr>
        <w:t xml:space="preserve">Investment and Impact Fund [IIF] </w:t>
      </w:r>
    </w:p>
    <w:p w14:paraId="47DFBAA4" w14:textId="77777777" w:rsidR="00214468" w:rsidRPr="00214468" w:rsidRDefault="00214468" w:rsidP="00214468">
      <w:pPr>
        <w:spacing w:after="0" w:line="240" w:lineRule="auto"/>
        <w:rPr>
          <w:rFonts w:ascii="Bliss 2 Light" w:eastAsia="Calibri" w:hAnsi="Bliss 2 Light" w:cs="Times New Roman"/>
          <w:b/>
          <w:bCs/>
          <w:sz w:val="24"/>
          <w:szCs w:val="24"/>
        </w:rPr>
      </w:pPr>
    </w:p>
    <w:p w14:paraId="6D0801AA" w14:textId="77777777" w:rsidR="00214468" w:rsidRPr="00214468" w:rsidRDefault="00214468" w:rsidP="00214468">
      <w:pPr>
        <w:spacing w:after="0" w:line="240" w:lineRule="auto"/>
        <w:rPr>
          <w:rFonts w:ascii="Bliss 2 Light" w:eastAsia="Calibri" w:hAnsi="Bliss 2 Light" w:cs="Times New Roman"/>
          <w:sz w:val="24"/>
          <w:szCs w:val="24"/>
        </w:rPr>
      </w:pPr>
      <w:r w:rsidRPr="00214468">
        <w:rPr>
          <w:rFonts w:ascii="Bliss 2 Light" w:eastAsia="Calibri" w:hAnsi="Bliss 2 Light" w:cs="Times New Roman"/>
          <w:sz w:val="24"/>
          <w:szCs w:val="24"/>
        </w:rPr>
        <w:t>Colleagues should refer to Appendices 3 and 4 in NHS England’s letter.</w:t>
      </w:r>
    </w:p>
    <w:p w14:paraId="6734B9A9" w14:textId="77777777" w:rsidR="00214468" w:rsidRPr="00214468" w:rsidRDefault="00214468" w:rsidP="00214468">
      <w:pPr>
        <w:spacing w:after="0" w:line="240" w:lineRule="auto"/>
        <w:rPr>
          <w:rFonts w:ascii="Bliss 2 Light" w:eastAsia="Calibri" w:hAnsi="Bliss 2 Light" w:cs="Times New Roman"/>
          <w:sz w:val="24"/>
          <w:szCs w:val="24"/>
        </w:rPr>
      </w:pPr>
    </w:p>
    <w:p w14:paraId="6CC37F9A" w14:textId="77777777" w:rsidR="00214468" w:rsidRPr="00214468" w:rsidRDefault="00214468" w:rsidP="00214468">
      <w:pPr>
        <w:numPr>
          <w:ilvl w:val="0"/>
          <w:numId w:val="10"/>
        </w:numPr>
        <w:spacing w:after="0" w:line="240" w:lineRule="auto"/>
        <w:contextualSpacing/>
        <w:rPr>
          <w:rFonts w:ascii="Bliss 2 Light" w:eastAsia="Calibri" w:hAnsi="Bliss 2 Light" w:cs="Times New Roman"/>
          <w:sz w:val="24"/>
          <w:szCs w:val="24"/>
        </w:rPr>
      </w:pPr>
      <w:r w:rsidRPr="00214468">
        <w:rPr>
          <w:rFonts w:ascii="Bliss 2 Light" w:eastAsia="Calibri" w:hAnsi="Bliss 2 Light" w:cs="Times New Roman"/>
          <w:sz w:val="24"/>
          <w:szCs w:val="24"/>
        </w:rPr>
        <w:t>The three flu immunisation indicators and the appointment categorisation indicator (VI-01, VI-02, VI-03 and ACC-01) will be paid on 2021/22 PCN achievement</w:t>
      </w:r>
    </w:p>
    <w:p w14:paraId="230336C6" w14:textId="77777777" w:rsidR="00214468" w:rsidRPr="00214468" w:rsidRDefault="00214468" w:rsidP="00214468">
      <w:pPr>
        <w:spacing w:after="0" w:line="240" w:lineRule="auto"/>
        <w:ind w:left="720"/>
        <w:contextualSpacing/>
        <w:rPr>
          <w:rFonts w:ascii="Bliss 2 Light" w:eastAsia="Calibri" w:hAnsi="Bliss 2 Light" w:cs="Times New Roman"/>
          <w:sz w:val="24"/>
          <w:szCs w:val="24"/>
        </w:rPr>
      </w:pPr>
      <w:r w:rsidRPr="00214468">
        <w:rPr>
          <w:rFonts w:ascii="Bliss 2 Light" w:eastAsia="Calibri" w:hAnsi="Bliss 2 Light" w:cs="Times New Roman"/>
          <w:sz w:val="24"/>
          <w:szCs w:val="24"/>
        </w:rPr>
        <w:t xml:space="preserve"> (Appendix 3).</w:t>
      </w:r>
    </w:p>
    <w:p w14:paraId="4D591F46" w14:textId="77777777" w:rsidR="00214468" w:rsidRPr="00214468" w:rsidRDefault="00214468" w:rsidP="00214468">
      <w:pPr>
        <w:spacing w:after="0" w:line="240" w:lineRule="auto"/>
        <w:ind w:left="720"/>
        <w:contextualSpacing/>
        <w:rPr>
          <w:rFonts w:ascii="Bliss 2 Light" w:eastAsia="Calibri" w:hAnsi="Bliss 2 Light" w:cs="Times New Roman"/>
          <w:sz w:val="24"/>
          <w:szCs w:val="24"/>
        </w:rPr>
      </w:pPr>
    </w:p>
    <w:p w14:paraId="6F1195FF" w14:textId="77777777" w:rsidR="00214468" w:rsidRPr="00214468" w:rsidRDefault="00214468" w:rsidP="00214468">
      <w:pPr>
        <w:numPr>
          <w:ilvl w:val="0"/>
          <w:numId w:val="10"/>
        </w:numPr>
        <w:spacing w:after="0" w:line="240" w:lineRule="auto"/>
        <w:contextualSpacing/>
        <w:rPr>
          <w:rFonts w:ascii="Bliss 2 Light" w:eastAsia="Calibri" w:hAnsi="Bliss 2 Light" w:cs="Times New Roman"/>
          <w:sz w:val="24"/>
          <w:szCs w:val="24"/>
        </w:rPr>
      </w:pPr>
      <w:r w:rsidRPr="00214468">
        <w:rPr>
          <w:rFonts w:ascii="Bliss 2 Light" w:eastAsia="Calibri" w:hAnsi="Bliss 2 Light" w:cs="Times New Roman"/>
          <w:sz w:val="24"/>
          <w:szCs w:val="24"/>
        </w:rPr>
        <w:t>All other IIF indicators are suspended (Appendix 4).</w:t>
      </w:r>
    </w:p>
    <w:p w14:paraId="10B4421D" w14:textId="77777777" w:rsidR="00214468" w:rsidRPr="00214468" w:rsidRDefault="00214468" w:rsidP="00214468">
      <w:pPr>
        <w:spacing w:after="0" w:line="240" w:lineRule="auto"/>
        <w:rPr>
          <w:rFonts w:ascii="Bliss 2 Light" w:eastAsia="Calibri" w:hAnsi="Bliss 2 Light" w:cs="Times New Roman"/>
          <w:sz w:val="24"/>
          <w:szCs w:val="24"/>
        </w:rPr>
      </w:pPr>
    </w:p>
    <w:p w14:paraId="6E590A5B" w14:textId="77777777" w:rsidR="00214468" w:rsidRPr="00214468" w:rsidRDefault="00214468" w:rsidP="00214468">
      <w:pPr>
        <w:spacing w:after="0" w:line="240" w:lineRule="auto"/>
        <w:rPr>
          <w:rFonts w:ascii="Bliss 2 Light" w:eastAsia="Calibri" w:hAnsi="Bliss 2 Light" w:cs="Times New Roman"/>
          <w:sz w:val="24"/>
          <w:szCs w:val="24"/>
        </w:rPr>
      </w:pPr>
      <w:r w:rsidRPr="00214468">
        <w:rPr>
          <w:rFonts w:ascii="Bliss 2 Light" w:eastAsia="Calibri" w:hAnsi="Bliss 2 Light" w:cs="Times New Roman"/>
          <w:sz w:val="24"/>
          <w:szCs w:val="24"/>
        </w:rPr>
        <w:t>The suspended IIF indicators comprise £112.1 million investment that will be allocated as below:</w:t>
      </w:r>
    </w:p>
    <w:p w14:paraId="68EF2B42" w14:textId="77777777" w:rsidR="00214468" w:rsidRPr="00214468" w:rsidRDefault="00214468" w:rsidP="00214468">
      <w:pPr>
        <w:spacing w:after="0" w:line="240" w:lineRule="auto"/>
        <w:rPr>
          <w:rFonts w:ascii="Bliss 2 Light" w:eastAsia="Calibri" w:hAnsi="Bliss 2 Light" w:cs="Times New Roman"/>
          <w:sz w:val="24"/>
          <w:szCs w:val="24"/>
        </w:rPr>
      </w:pPr>
    </w:p>
    <w:p w14:paraId="3A5B79E3" w14:textId="77777777" w:rsidR="00214468" w:rsidRPr="00214468" w:rsidRDefault="00214468" w:rsidP="00214468">
      <w:pPr>
        <w:numPr>
          <w:ilvl w:val="0"/>
          <w:numId w:val="10"/>
        </w:numPr>
        <w:spacing w:after="0" w:line="240" w:lineRule="auto"/>
        <w:contextualSpacing/>
        <w:rPr>
          <w:rFonts w:ascii="Bliss 2 Light" w:eastAsia="Calibri" w:hAnsi="Bliss 2 Light" w:cs="Times New Roman"/>
          <w:sz w:val="24"/>
          <w:szCs w:val="24"/>
        </w:rPr>
      </w:pPr>
      <w:r w:rsidRPr="00214468">
        <w:rPr>
          <w:rFonts w:ascii="Bliss 2 Light" w:eastAsia="Calibri" w:hAnsi="Bliss 2 Light" w:cs="Times New Roman"/>
          <w:sz w:val="24"/>
          <w:szCs w:val="24"/>
        </w:rPr>
        <w:t>£62.4 million to PCNs on a weighted patient basis, subject to confirmation from the PCN this fund will be reinvested into services or workforce.</w:t>
      </w:r>
    </w:p>
    <w:p w14:paraId="625FDD6B" w14:textId="77777777" w:rsidR="00214468" w:rsidRPr="00214468" w:rsidRDefault="00214468" w:rsidP="00214468">
      <w:pPr>
        <w:spacing w:after="0" w:line="240" w:lineRule="auto"/>
        <w:ind w:left="720"/>
        <w:contextualSpacing/>
        <w:rPr>
          <w:rFonts w:ascii="Bliss 2 Light" w:eastAsia="Calibri" w:hAnsi="Bliss 2 Light" w:cs="Times New Roman"/>
          <w:sz w:val="24"/>
          <w:szCs w:val="24"/>
        </w:rPr>
      </w:pPr>
    </w:p>
    <w:p w14:paraId="12BE378D" w14:textId="77777777" w:rsidR="00214468" w:rsidRPr="00214468" w:rsidRDefault="00214468" w:rsidP="00214468">
      <w:pPr>
        <w:numPr>
          <w:ilvl w:val="0"/>
          <w:numId w:val="10"/>
        </w:numPr>
        <w:spacing w:after="0" w:line="240" w:lineRule="auto"/>
        <w:contextualSpacing/>
        <w:rPr>
          <w:rFonts w:ascii="Bliss 2 Light" w:eastAsia="Calibri" w:hAnsi="Bliss 2 Light" w:cs="Times New Roman"/>
          <w:i/>
          <w:iCs/>
          <w:sz w:val="24"/>
          <w:szCs w:val="24"/>
        </w:rPr>
      </w:pPr>
      <w:r w:rsidRPr="00214468">
        <w:rPr>
          <w:rFonts w:ascii="Bliss 2 Light" w:eastAsia="Calibri" w:hAnsi="Bliss 2 Light" w:cs="Times New Roman"/>
          <w:sz w:val="24"/>
          <w:szCs w:val="24"/>
        </w:rPr>
        <w:t xml:space="preserve">£49.7 million will be allocated on a registered list size basis after the 2021/22 financial year, subject to </w:t>
      </w:r>
      <w:r w:rsidRPr="00214468">
        <w:rPr>
          <w:rFonts w:ascii="Bliss 2 Light" w:eastAsia="Calibri" w:hAnsi="Bliss 2 Light" w:cs="Times New Roman"/>
          <w:i/>
          <w:iCs/>
          <w:sz w:val="24"/>
          <w:szCs w:val="24"/>
        </w:rPr>
        <w:t xml:space="preserve">“All practices within a PCN being signed up to Phase 3 of the </w:t>
      </w:r>
    </w:p>
    <w:p w14:paraId="2665E25C" w14:textId="77777777" w:rsidR="00214468" w:rsidRPr="00214468" w:rsidRDefault="00214468" w:rsidP="00214468">
      <w:pPr>
        <w:spacing w:after="0" w:line="240" w:lineRule="auto"/>
        <w:ind w:left="720"/>
        <w:contextualSpacing/>
        <w:rPr>
          <w:rFonts w:ascii="Bliss 2 Light" w:eastAsia="Calibri" w:hAnsi="Bliss 2 Light" w:cs="Times New Roman"/>
          <w:i/>
          <w:iCs/>
          <w:sz w:val="24"/>
          <w:szCs w:val="24"/>
        </w:rPr>
      </w:pPr>
      <w:r w:rsidRPr="00214468">
        <w:rPr>
          <w:rFonts w:ascii="Bliss 2 Light" w:eastAsia="Calibri" w:hAnsi="Bliss 2 Light" w:cs="Times New Roman"/>
          <w:i/>
          <w:iCs/>
          <w:sz w:val="24"/>
          <w:szCs w:val="24"/>
        </w:rPr>
        <w:t xml:space="preserve">COVID-19 Vaccination Enhanced Service as </w:t>
      </w:r>
      <w:proofErr w:type="gramStart"/>
      <w:r w:rsidRPr="00214468">
        <w:rPr>
          <w:rFonts w:ascii="Bliss 2 Light" w:eastAsia="Calibri" w:hAnsi="Bliss 2 Light" w:cs="Times New Roman"/>
          <w:i/>
          <w:iCs/>
          <w:sz w:val="24"/>
          <w:szCs w:val="24"/>
        </w:rPr>
        <w:t>at</w:t>
      </w:r>
      <w:proofErr w:type="gramEnd"/>
      <w:r w:rsidRPr="00214468">
        <w:rPr>
          <w:rFonts w:ascii="Bliss 2 Light" w:eastAsia="Calibri" w:hAnsi="Bliss 2 Light" w:cs="Times New Roman"/>
          <w:i/>
          <w:iCs/>
          <w:sz w:val="24"/>
          <w:szCs w:val="24"/>
        </w:rPr>
        <w:t xml:space="preserve"> 31</w:t>
      </w:r>
      <w:r w:rsidRPr="00214468">
        <w:rPr>
          <w:rFonts w:ascii="Bliss 2 Light" w:eastAsia="Calibri" w:hAnsi="Bliss 2 Light" w:cs="Times New Roman"/>
          <w:i/>
          <w:iCs/>
          <w:sz w:val="24"/>
          <w:szCs w:val="24"/>
          <w:vertAlign w:val="superscript"/>
        </w:rPr>
        <w:t>st</w:t>
      </w:r>
      <w:r w:rsidRPr="00214468">
        <w:rPr>
          <w:rFonts w:ascii="Bliss 2 Light" w:eastAsia="Calibri" w:hAnsi="Bliss 2 Light" w:cs="Times New Roman"/>
          <w:i/>
          <w:iCs/>
          <w:sz w:val="24"/>
          <w:szCs w:val="24"/>
        </w:rPr>
        <w:t xml:space="preserve"> December and remaining signed up until 31</w:t>
      </w:r>
      <w:r w:rsidRPr="00214468">
        <w:rPr>
          <w:rFonts w:ascii="Bliss 2 Light" w:eastAsia="Calibri" w:hAnsi="Bliss 2 Light" w:cs="Times New Roman"/>
          <w:i/>
          <w:iCs/>
          <w:sz w:val="24"/>
          <w:szCs w:val="24"/>
          <w:vertAlign w:val="superscript"/>
        </w:rPr>
        <w:t>st</w:t>
      </w:r>
      <w:r w:rsidRPr="00214468">
        <w:rPr>
          <w:rFonts w:ascii="Bliss 2 Light" w:eastAsia="Calibri" w:hAnsi="Bliss 2 Light" w:cs="Times New Roman"/>
          <w:i/>
          <w:iCs/>
          <w:sz w:val="24"/>
          <w:szCs w:val="24"/>
        </w:rPr>
        <w:t xml:space="preserve"> March 2022 and actively delivering the Programme”.</w:t>
      </w:r>
    </w:p>
    <w:p w14:paraId="2DA99780" w14:textId="77777777" w:rsidR="00214468" w:rsidRPr="00214468" w:rsidRDefault="00214468" w:rsidP="00214468">
      <w:pPr>
        <w:spacing w:after="0" w:line="240" w:lineRule="auto"/>
        <w:rPr>
          <w:rFonts w:ascii="Bliss 2 Light" w:eastAsia="Calibri" w:hAnsi="Bliss 2 Light" w:cs="Times New Roman"/>
          <w:i/>
          <w:iCs/>
          <w:sz w:val="24"/>
          <w:szCs w:val="24"/>
        </w:rPr>
      </w:pPr>
    </w:p>
    <w:p w14:paraId="5E25C631" w14:textId="77777777" w:rsidR="00214468" w:rsidRPr="00214468" w:rsidRDefault="00214468" w:rsidP="00214468">
      <w:pPr>
        <w:spacing w:after="0" w:line="240" w:lineRule="auto"/>
        <w:rPr>
          <w:rFonts w:ascii="Bliss 2 Light" w:eastAsia="Calibri" w:hAnsi="Bliss 2 Light" w:cs="Times New Roman"/>
          <w:sz w:val="24"/>
          <w:szCs w:val="24"/>
        </w:rPr>
      </w:pPr>
      <w:r w:rsidRPr="00214468">
        <w:rPr>
          <w:rFonts w:ascii="Bliss 2 Light" w:eastAsia="Calibri" w:hAnsi="Bliss 2 Light" w:cs="Times New Roman"/>
          <w:sz w:val="24"/>
          <w:szCs w:val="24"/>
        </w:rPr>
        <w:t>Practices not currently signed up would need to do so by 10</w:t>
      </w:r>
      <w:r w:rsidRPr="00214468">
        <w:rPr>
          <w:rFonts w:ascii="Bliss 2 Light" w:eastAsia="Calibri" w:hAnsi="Bliss 2 Light" w:cs="Times New Roman"/>
          <w:sz w:val="24"/>
          <w:szCs w:val="24"/>
          <w:vertAlign w:val="superscript"/>
        </w:rPr>
        <w:t>th</w:t>
      </w:r>
      <w:r w:rsidRPr="00214468">
        <w:rPr>
          <w:rFonts w:ascii="Bliss 2 Light" w:eastAsia="Calibri" w:hAnsi="Bliss 2 Light" w:cs="Times New Roman"/>
          <w:sz w:val="24"/>
          <w:szCs w:val="24"/>
        </w:rPr>
        <w:t xml:space="preserve"> December, as assurance and January 2022 go-live date will follow.</w:t>
      </w:r>
    </w:p>
    <w:p w14:paraId="6A312495" w14:textId="77777777" w:rsidR="00214468" w:rsidRPr="00214468" w:rsidRDefault="00214468" w:rsidP="00214468">
      <w:pPr>
        <w:spacing w:after="0" w:line="240" w:lineRule="auto"/>
        <w:rPr>
          <w:rFonts w:ascii="Bliss 2 Light" w:eastAsia="Calibri" w:hAnsi="Bliss 2 Light" w:cs="Times New Roman"/>
          <w:sz w:val="24"/>
          <w:szCs w:val="24"/>
        </w:rPr>
      </w:pPr>
    </w:p>
    <w:p w14:paraId="7A555FB6" w14:textId="77777777" w:rsidR="00214468" w:rsidRPr="00214468" w:rsidRDefault="00214468" w:rsidP="00214468">
      <w:pPr>
        <w:spacing w:after="0" w:line="240" w:lineRule="auto"/>
        <w:rPr>
          <w:rFonts w:ascii="Bliss 2 Light" w:eastAsia="Calibri" w:hAnsi="Bliss 2 Light" w:cs="Times New Roman"/>
          <w:sz w:val="24"/>
          <w:szCs w:val="24"/>
        </w:rPr>
      </w:pPr>
      <w:r w:rsidRPr="00214468">
        <w:rPr>
          <w:rFonts w:ascii="Bliss 2 Light" w:eastAsia="Calibri" w:hAnsi="Bliss 2 Light" w:cs="Times New Roman"/>
          <w:sz w:val="24"/>
          <w:szCs w:val="24"/>
        </w:rPr>
        <w:t>There may be exceptional circumstances where a CCG may agree an individual practice may not participate but the PCN may still be eligible for payment.</w:t>
      </w:r>
    </w:p>
    <w:p w14:paraId="3845C56D" w14:textId="77777777" w:rsidR="00214468" w:rsidRPr="00214468" w:rsidRDefault="00214468" w:rsidP="00214468">
      <w:pPr>
        <w:spacing w:after="0" w:line="240" w:lineRule="auto"/>
        <w:rPr>
          <w:rFonts w:ascii="Bliss 2 Light" w:eastAsia="Calibri" w:hAnsi="Bliss 2 Light" w:cs="Times New Roman"/>
          <w:sz w:val="24"/>
          <w:szCs w:val="24"/>
        </w:rPr>
      </w:pPr>
    </w:p>
    <w:p w14:paraId="67B3A742" w14:textId="77777777" w:rsidR="00214468" w:rsidRPr="00214468" w:rsidRDefault="00214468" w:rsidP="00214468">
      <w:pPr>
        <w:spacing w:after="0" w:line="240" w:lineRule="auto"/>
        <w:rPr>
          <w:rFonts w:ascii="Bliss 2 Light" w:eastAsia="Calibri" w:hAnsi="Bliss 2 Light" w:cs="Times New Roman"/>
          <w:sz w:val="24"/>
          <w:szCs w:val="24"/>
        </w:rPr>
      </w:pPr>
      <w:r w:rsidRPr="00214468">
        <w:rPr>
          <w:rFonts w:ascii="Bliss 2 Light" w:eastAsia="Calibri" w:hAnsi="Bliss 2 Light" w:cs="Times New Roman"/>
          <w:sz w:val="24"/>
          <w:szCs w:val="24"/>
        </w:rPr>
        <w:t>CQRS will still operate for IIF indicators, and the IIF will, under current plans, recommence from April 2022.</w:t>
      </w:r>
    </w:p>
    <w:p w14:paraId="722485CF" w14:textId="77777777" w:rsidR="00214468" w:rsidRPr="00214468" w:rsidRDefault="00214468" w:rsidP="00214468">
      <w:pPr>
        <w:spacing w:after="0" w:line="240" w:lineRule="auto"/>
        <w:rPr>
          <w:rFonts w:ascii="Bliss 2 Light" w:eastAsia="Calibri" w:hAnsi="Bliss 2 Light" w:cs="Times New Roman"/>
          <w:sz w:val="24"/>
          <w:szCs w:val="24"/>
        </w:rPr>
      </w:pPr>
    </w:p>
    <w:p w14:paraId="7E2E598C" w14:textId="77777777" w:rsidR="00214468" w:rsidRPr="00214468" w:rsidRDefault="00214468" w:rsidP="00214468">
      <w:pPr>
        <w:spacing w:after="0" w:line="240" w:lineRule="auto"/>
        <w:rPr>
          <w:rFonts w:ascii="Bliss 2 Light" w:eastAsia="Calibri" w:hAnsi="Bliss 2 Light" w:cs="Times New Roman"/>
          <w:sz w:val="24"/>
          <w:szCs w:val="24"/>
        </w:rPr>
      </w:pPr>
    </w:p>
    <w:p w14:paraId="532E39BB" w14:textId="77777777" w:rsidR="00214468" w:rsidRPr="00214468" w:rsidRDefault="00214468" w:rsidP="00214468">
      <w:pPr>
        <w:spacing w:after="0" w:line="240" w:lineRule="auto"/>
        <w:rPr>
          <w:rFonts w:ascii="Bliss 2 Light" w:eastAsia="Calibri" w:hAnsi="Bliss 2 Light" w:cs="Times New Roman"/>
          <w:b/>
          <w:bCs/>
          <w:sz w:val="24"/>
          <w:szCs w:val="24"/>
        </w:rPr>
      </w:pPr>
      <w:r w:rsidRPr="00214468">
        <w:rPr>
          <w:rFonts w:ascii="Bliss 2 Light" w:eastAsia="Calibri" w:hAnsi="Bliss 2 Light" w:cs="Times New Roman"/>
          <w:b/>
          <w:bCs/>
          <w:sz w:val="24"/>
          <w:szCs w:val="24"/>
        </w:rPr>
        <w:t>Other Contractual Arrangements</w:t>
      </w:r>
    </w:p>
    <w:p w14:paraId="2F69AE1A" w14:textId="77777777" w:rsidR="00214468" w:rsidRPr="00214468" w:rsidRDefault="00214468" w:rsidP="00214468">
      <w:pPr>
        <w:spacing w:after="0" w:line="240" w:lineRule="auto"/>
        <w:rPr>
          <w:rFonts w:ascii="Bliss 2 Light" w:eastAsia="Calibri" w:hAnsi="Bliss 2 Light" w:cs="Times New Roman"/>
          <w:b/>
          <w:bCs/>
          <w:sz w:val="24"/>
          <w:szCs w:val="24"/>
        </w:rPr>
      </w:pPr>
    </w:p>
    <w:p w14:paraId="0448D5E5" w14:textId="77777777" w:rsidR="00214468" w:rsidRPr="00214468" w:rsidRDefault="00214468" w:rsidP="00214468">
      <w:pPr>
        <w:spacing w:after="0" w:line="240" w:lineRule="auto"/>
        <w:rPr>
          <w:rFonts w:ascii="Bliss 2 Light" w:eastAsia="Calibri" w:hAnsi="Bliss 2 Light" w:cs="Times New Roman"/>
          <w:sz w:val="24"/>
          <w:szCs w:val="24"/>
        </w:rPr>
      </w:pPr>
      <w:r w:rsidRPr="00214468">
        <w:rPr>
          <w:rFonts w:ascii="Bliss 2 Light" w:eastAsia="Calibri" w:hAnsi="Bliss 2 Light" w:cs="Times New Roman"/>
          <w:sz w:val="24"/>
          <w:szCs w:val="24"/>
        </w:rPr>
        <w:t>The Minor Surgery DES will be income protected from 1</w:t>
      </w:r>
      <w:r w:rsidRPr="00214468">
        <w:rPr>
          <w:rFonts w:ascii="Bliss 2 Light" w:eastAsia="Calibri" w:hAnsi="Bliss 2 Light" w:cs="Times New Roman"/>
          <w:sz w:val="24"/>
          <w:szCs w:val="24"/>
          <w:vertAlign w:val="superscript"/>
        </w:rPr>
        <w:t>st</w:t>
      </w:r>
      <w:r w:rsidRPr="00214468">
        <w:rPr>
          <w:rFonts w:ascii="Bliss 2 Light" w:eastAsia="Calibri" w:hAnsi="Bliss 2 Light" w:cs="Times New Roman"/>
          <w:sz w:val="24"/>
          <w:szCs w:val="24"/>
        </w:rPr>
        <w:t xml:space="preserve"> December 2021 – 31</w:t>
      </w:r>
      <w:r w:rsidRPr="00214468">
        <w:rPr>
          <w:rFonts w:ascii="Bliss 2 Light" w:eastAsia="Calibri" w:hAnsi="Bliss 2 Light" w:cs="Times New Roman"/>
          <w:sz w:val="24"/>
          <w:szCs w:val="24"/>
          <w:vertAlign w:val="superscript"/>
        </w:rPr>
        <w:t>st</w:t>
      </w:r>
      <w:r w:rsidRPr="00214468">
        <w:rPr>
          <w:rFonts w:ascii="Bliss 2 Light" w:eastAsia="Calibri" w:hAnsi="Bliss 2 Light" w:cs="Times New Roman"/>
          <w:sz w:val="24"/>
          <w:szCs w:val="24"/>
        </w:rPr>
        <w:t xml:space="preserve"> March 2022, with payments to practices made on the basis of the corresponding period from 1</w:t>
      </w:r>
      <w:r w:rsidRPr="00214468">
        <w:rPr>
          <w:rFonts w:ascii="Bliss 2 Light" w:eastAsia="Calibri" w:hAnsi="Bliss 2 Light" w:cs="Times New Roman"/>
          <w:sz w:val="24"/>
          <w:szCs w:val="24"/>
          <w:vertAlign w:val="superscript"/>
        </w:rPr>
        <w:t>st</w:t>
      </w:r>
      <w:r w:rsidRPr="00214468">
        <w:rPr>
          <w:rFonts w:ascii="Bliss 2 Light" w:eastAsia="Calibri" w:hAnsi="Bliss 2 Light" w:cs="Times New Roman"/>
          <w:sz w:val="24"/>
          <w:szCs w:val="24"/>
        </w:rPr>
        <w:t xml:space="preserve"> December 2018 – 31</w:t>
      </w:r>
      <w:r w:rsidRPr="00214468">
        <w:rPr>
          <w:rFonts w:ascii="Bliss 2 Light" w:eastAsia="Calibri" w:hAnsi="Bliss 2 Light" w:cs="Times New Roman"/>
          <w:sz w:val="24"/>
          <w:szCs w:val="24"/>
          <w:vertAlign w:val="superscript"/>
        </w:rPr>
        <w:t>st</w:t>
      </w:r>
      <w:r w:rsidRPr="00214468">
        <w:rPr>
          <w:rFonts w:ascii="Bliss 2 Light" w:eastAsia="Calibri" w:hAnsi="Bliss 2 Light" w:cs="Times New Roman"/>
          <w:sz w:val="24"/>
          <w:szCs w:val="24"/>
        </w:rPr>
        <w:t xml:space="preserve"> March 2019.  This applies to practices “participating in the vaccination programme”.</w:t>
      </w:r>
    </w:p>
    <w:p w14:paraId="79425960" w14:textId="77777777" w:rsidR="00214468" w:rsidRPr="00214468" w:rsidRDefault="00214468" w:rsidP="00214468">
      <w:pPr>
        <w:spacing w:after="0" w:line="240" w:lineRule="auto"/>
        <w:rPr>
          <w:rFonts w:ascii="Bliss 2 Light" w:eastAsia="Calibri" w:hAnsi="Bliss 2 Light" w:cs="Times New Roman"/>
          <w:sz w:val="24"/>
          <w:szCs w:val="24"/>
        </w:rPr>
      </w:pPr>
    </w:p>
    <w:p w14:paraId="34673859" w14:textId="77777777" w:rsidR="00214468" w:rsidRDefault="00214468" w:rsidP="00214468">
      <w:pPr>
        <w:spacing w:after="0" w:line="240" w:lineRule="auto"/>
        <w:rPr>
          <w:rFonts w:ascii="Bliss 2 Light" w:eastAsia="Calibri" w:hAnsi="Bliss 2 Light" w:cs="Times New Roman"/>
          <w:sz w:val="24"/>
          <w:szCs w:val="24"/>
        </w:rPr>
      </w:pPr>
      <w:r w:rsidRPr="00214468">
        <w:rPr>
          <w:rFonts w:ascii="Bliss 2 Light" w:eastAsia="Calibri" w:hAnsi="Bliss 2 Light" w:cs="Times New Roman"/>
          <w:sz w:val="24"/>
          <w:szCs w:val="24"/>
        </w:rPr>
        <w:t xml:space="preserve">Routine Health Checks on request from patients &gt; 75 who have not had a consultation in the previous 1 year, and for newly registered patients, can be deferred during the </w:t>
      </w:r>
      <w:proofErr w:type="gramStart"/>
      <w:r w:rsidRPr="00214468">
        <w:rPr>
          <w:rFonts w:ascii="Bliss 2 Light" w:eastAsia="Calibri" w:hAnsi="Bliss 2 Light" w:cs="Times New Roman"/>
          <w:sz w:val="24"/>
          <w:szCs w:val="24"/>
        </w:rPr>
        <w:t>1</w:t>
      </w:r>
      <w:r w:rsidRPr="00214468">
        <w:rPr>
          <w:rFonts w:ascii="Bliss 2 Light" w:eastAsia="Calibri" w:hAnsi="Bliss 2 Light" w:cs="Times New Roman"/>
          <w:sz w:val="24"/>
          <w:szCs w:val="24"/>
          <w:vertAlign w:val="superscript"/>
        </w:rPr>
        <w:t>st</w:t>
      </w:r>
      <w:proofErr w:type="gramEnd"/>
      <w:r w:rsidRPr="00214468">
        <w:rPr>
          <w:rFonts w:ascii="Bliss 2 Light" w:eastAsia="Calibri" w:hAnsi="Bliss 2 Light" w:cs="Times New Roman"/>
          <w:sz w:val="24"/>
          <w:szCs w:val="24"/>
        </w:rPr>
        <w:t xml:space="preserve"> December </w:t>
      </w:r>
    </w:p>
    <w:p w14:paraId="76CF4087" w14:textId="77777777" w:rsidR="00214468" w:rsidRDefault="00214468" w:rsidP="00214468">
      <w:pPr>
        <w:spacing w:after="0" w:line="240" w:lineRule="auto"/>
        <w:rPr>
          <w:rFonts w:ascii="Bliss 2 Light" w:eastAsia="Calibri" w:hAnsi="Bliss 2 Light" w:cs="Times New Roman"/>
          <w:sz w:val="24"/>
          <w:szCs w:val="24"/>
        </w:rPr>
      </w:pPr>
    </w:p>
    <w:p w14:paraId="016BB802" w14:textId="15C1AA19" w:rsidR="00214468" w:rsidRPr="00214468" w:rsidRDefault="00214468" w:rsidP="00214468">
      <w:pPr>
        <w:spacing w:after="0" w:line="240" w:lineRule="auto"/>
        <w:rPr>
          <w:rFonts w:ascii="Bliss 2 Light" w:eastAsia="Calibri" w:hAnsi="Bliss 2 Light" w:cs="Times New Roman"/>
          <w:sz w:val="24"/>
          <w:szCs w:val="24"/>
        </w:rPr>
      </w:pPr>
      <w:r w:rsidRPr="00214468">
        <w:rPr>
          <w:rFonts w:ascii="Bliss 2 Light" w:eastAsia="Calibri" w:hAnsi="Bliss 2 Light" w:cs="Times New Roman"/>
          <w:sz w:val="24"/>
          <w:szCs w:val="24"/>
        </w:rPr>
        <w:lastRenderedPageBreak/>
        <w:t>2021 – 31</w:t>
      </w:r>
      <w:r w:rsidRPr="00214468">
        <w:rPr>
          <w:rFonts w:ascii="Bliss 2 Light" w:eastAsia="Calibri" w:hAnsi="Bliss 2 Light" w:cs="Times New Roman"/>
          <w:sz w:val="24"/>
          <w:szCs w:val="24"/>
          <w:vertAlign w:val="superscript"/>
        </w:rPr>
        <w:t>st</w:t>
      </w:r>
      <w:r w:rsidRPr="00214468">
        <w:rPr>
          <w:rFonts w:ascii="Bliss 2 Light" w:eastAsia="Calibri" w:hAnsi="Bliss 2 Light" w:cs="Times New Roman"/>
          <w:sz w:val="24"/>
          <w:szCs w:val="24"/>
        </w:rPr>
        <w:t xml:space="preserve"> March 2022 period.  Again, this applies to practices participating in the vaccination programme, and if this is considered clinically appropriate.</w:t>
      </w:r>
    </w:p>
    <w:p w14:paraId="1C7EC938" w14:textId="77777777" w:rsidR="00214468" w:rsidRPr="00214468" w:rsidRDefault="00214468" w:rsidP="00214468">
      <w:pPr>
        <w:spacing w:after="0" w:line="240" w:lineRule="auto"/>
        <w:rPr>
          <w:rFonts w:ascii="Bliss 2 Light" w:eastAsia="Calibri" w:hAnsi="Bliss 2 Light" w:cs="Times New Roman"/>
          <w:sz w:val="24"/>
          <w:szCs w:val="24"/>
        </w:rPr>
      </w:pPr>
    </w:p>
    <w:p w14:paraId="46FA2E6E" w14:textId="77777777" w:rsidR="00214468" w:rsidRPr="00214468" w:rsidRDefault="00214468" w:rsidP="00214468">
      <w:pPr>
        <w:spacing w:after="0" w:line="240" w:lineRule="auto"/>
        <w:rPr>
          <w:rFonts w:ascii="Bliss 2 Light" w:eastAsia="Calibri" w:hAnsi="Bliss 2 Light" w:cs="Times New Roman"/>
          <w:b/>
          <w:bCs/>
          <w:sz w:val="24"/>
          <w:szCs w:val="24"/>
        </w:rPr>
      </w:pPr>
      <w:r w:rsidRPr="00214468">
        <w:rPr>
          <w:rFonts w:ascii="Bliss 2 Light" w:eastAsia="Calibri" w:hAnsi="Bliss 2 Light" w:cs="Times New Roman"/>
          <w:b/>
          <w:bCs/>
          <w:sz w:val="24"/>
          <w:szCs w:val="24"/>
        </w:rPr>
        <w:t>(For dispensing practices only)</w:t>
      </w:r>
    </w:p>
    <w:p w14:paraId="06D40313" w14:textId="77777777" w:rsidR="00214468" w:rsidRPr="00214468" w:rsidRDefault="00214468" w:rsidP="00214468">
      <w:pPr>
        <w:spacing w:after="0" w:line="240" w:lineRule="auto"/>
        <w:rPr>
          <w:rFonts w:ascii="Bliss 2 Light" w:eastAsia="Calibri" w:hAnsi="Bliss 2 Light" w:cs="Times New Roman"/>
          <w:b/>
          <w:bCs/>
          <w:sz w:val="28"/>
          <w:szCs w:val="28"/>
        </w:rPr>
      </w:pPr>
    </w:p>
    <w:p w14:paraId="0E86A840" w14:textId="77777777" w:rsidR="00214468" w:rsidRPr="00214468" w:rsidRDefault="00214468" w:rsidP="00214468">
      <w:pPr>
        <w:spacing w:after="0" w:line="240" w:lineRule="auto"/>
        <w:rPr>
          <w:rFonts w:ascii="Bliss 2 Light" w:eastAsia="Calibri" w:hAnsi="Bliss 2 Light" w:cs="Times New Roman"/>
          <w:sz w:val="24"/>
          <w:szCs w:val="24"/>
        </w:rPr>
      </w:pPr>
      <w:r w:rsidRPr="00214468">
        <w:rPr>
          <w:rFonts w:ascii="Bliss 2 Light" w:eastAsia="Calibri" w:hAnsi="Bliss 2 Light" w:cs="Times New Roman"/>
          <w:sz w:val="24"/>
          <w:szCs w:val="24"/>
        </w:rPr>
        <w:t>The Dispensary Services Quality Scheme [DSQS] is being amended so that a minimum of 7.5%, rather than 10% of dispensing patients are required to have medication reviews, focussing on patients who are considered to be at higher risk or would derive most benefit from such a review.</w:t>
      </w:r>
    </w:p>
    <w:p w14:paraId="5EF16981" w14:textId="77777777" w:rsidR="00214468" w:rsidRPr="00214468" w:rsidRDefault="00214468" w:rsidP="00214468">
      <w:pPr>
        <w:spacing w:after="0" w:line="240" w:lineRule="auto"/>
        <w:rPr>
          <w:rFonts w:ascii="Bliss 2 Light" w:eastAsia="Calibri" w:hAnsi="Bliss 2 Light" w:cs="Times New Roman"/>
          <w:sz w:val="24"/>
          <w:szCs w:val="24"/>
        </w:rPr>
      </w:pPr>
    </w:p>
    <w:p w14:paraId="6E6953ED" w14:textId="77777777" w:rsidR="00214468" w:rsidRPr="00214468" w:rsidRDefault="00214468" w:rsidP="00214468">
      <w:pPr>
        <w:spacing w:after="0" w:line="240" w:lineRule="auto"/>
        <w:rPr>
          <w:rFonts w:ascii="Bliss 2 Light" w:eastAsia="Calibri" w:hAnsi="Bliss 2 Light" w:cs="Times New Roman"/>
          <w:sz w:val="24"/>
          <w:szCs w:val="24"/>
        </w:rPr>
      </w:pPr>
    </w:p>
    <w:p w14:paraId="59C591AC" w14:textId="77777777" w:rsidR="00214468" w:rsidRPr="00214468" w:rsidRDefault="00214468" w:rsidP="00214468">
      <w:pPr>
        <w:spacing w:after="0" w:line="240" w:lineRule="auto"/>
        <w:rPr>
          <w:rFonts w:ascii="Bliss 2 Light" w:eastAsia="Calibri" w:hAnsi="Bliss 2 Light" w:cs="Times New Roman"/>
          <w:b/>
          <w:bCs/>
          <w:sz w:val="24"/>
          <w:szCs w:val="24"/>
        </w:rPr>
      </w:pPr>
      <w:r w:rsidRPr="00214468">
        <w:rPr>
          <w:rFonts w:ascii="Bliss 2 Light" w:eastAsia="Calibri" w:hAnsi="Bliss 2 Light" w:cs="Times New Roman"/>
          <w:b/>
          <w:bCs/>
          <w:sz w:val="24"/>
          <w:szCs w:val="24"/>
        </w:rPr>
        <w:t>Additional telephony support</w:t>
      </w:r>
    </w:p>
    <w:p w14:paraId="0B7266F4" w14:textId="77777777" w:rsidR="00214468" w:rsidRPr="00214468" w:rsidRDefault="00214468" w:rsidP="00214468">
      <w:pPr>
        <w:spacing w:after="0" w:line="240" w:lineRule="auto"/>
        <w:rPr>
          <w:rFonts w:ascii="Bliss 2 Light" w:eastAsia="Calibri" w:hAnsi="Bliss 2 Light" w:cs="Times New Roman"/>
          <w:sz w:val="24"/>
          <w:szCs w:val="24"/>
        </w:rPr>
      </w:pPr>
    </w:p>
    <w:p w14:paraId="3EE44E98" w14:textId="77777777" w:rsidR="00214468" w:rsidRPr="00214468" w:rsidRDefault="00214468" w:rsidP="00214468">
      <w:pPr>
        <w:spacing w:after="0" w:line="240" w:lineRule="auto"/>
        <w:rPr>
          <w:rFonts w:ascii="Bliss 2 Light" w:eastAsia="Calibri" w:hAnsi="Bliss 2 Light" w:cs="Times New Roman"/>
          <w:sz w:val="24"/>
          <w:szCs w:val="24"/>
        </w:rPr>
      </w:pPr>
      <w:r w:rsidRPr="00214468">
        <w:rPr>
          <w:rFonts w:ascii="Bliss 2 Light" w:eastAsia="Calibri" w:hAnsi="Bliss 2 Light" w:cs="Times New Roman"/>
          <w:sz w:val="24"/>
          <w:szCs w:val="24"/>
        </w:rPr>
        <w:t>NHSX have agreed with Microsoft that General Practice may use MS Teams telephony functionality for outbound calls, freeing up existing lines for incoming calls.  Practices may keep their current telephony supplier.  This offer is available until 30</w:t>
      </w:r>
      <w:r w:rsidRPr="00214468">
        <w:rPr>
          <w:rFonts w:ascii="Bliss 2 Light" w:eastAsia="Calibri" w:hAnsi="Bliss 2 Light" w:cs="Times New Roman"/>
          <w:sz w:val="24"/>
          <w:szCs w:val="24"/>
          <w:vertAlign w:val="superscript"/>
        </w:rPr>
        <w:t>th</w:t>
      </w:r>
      <w:r w:rsidRPr="00214468">
        <w:rPr>
          <w:rFonts w:ascii="Bliss 2 Light" w:eastAsia="Calibri" w:hAnsi="Bliss 2 Light" w:cs="Times New Roman"/>
          <w:sz w:val="24"/>
          <w:szCs w:val="24"/>
        </w:rPr>
        <w:t xml:space="preserve"> April 2023.  Further communication about this offer will follow.</w:t>
      </w:r>
    </w:p>
    <w:p w14:paraId="57A800A6" w14:textId="77777777" w:rsidR="00214468" w:rsidRPr="00214468" w:rsidRDefault="00214468" w:rsidP="00214468">
      <w:pPr>
        <w:spacing w:after="0" w:line="240" w:lineRule="auto"/>
        <w:rPr>
          <w:rFonts w:ascii="Bliss 2 Light" w:eastAsia="Calibri" w:hAnsi="Bliss 2 Light" w:cs="Times New Roman"/>
          <w:sz w:val="24"/>
          <w:szCs w:val="24"/>
        </w:rPr>
      </w:pPr>
    </w:p>
    <w:p w14:paraId="632DBB91" w14:textId="77777777" w:rsidR="00214468" w:rsidRPr="00214468" w:rsidRDefault="00214468" w:rsidP="00214468">
      <w:pPr>
        <w:spacing w:after="0" w:line="240" w:lineRule="auto"/>
        <w:rPr>
          <w:rFonts w:ascii="Bliss 2 Light" w:eastAsia="Calibri" w:hAnsi="Bliss 2 Light" w:cs="Times New Roman"/>
          <w:sz w:val="24"/>
          <w:szCs w:val="24"/>
        </w:rPr>
      </w:pPr>
      <w:r w:rsidRPr="00214468">
        <w:rPr>
          <w:rFonts w:ascii="Bliss 2 Light" w:eastAsia="Calibri" w:hAnsi="Bliss 2 Light" w:cs="Times New Roman"/>
          <w:sz w:val="24"/>
          <w:szCs w:val="24"/>
        </w:rPr>
        <w:t>I hope this further background is helpful; please contact the LMC with any queries.</w:t>
      </w:r>
    </w:p>
    <w:p w14:paraId="6C818CA7" w14:textId="77777777" w:rsidR="00214468" w:rsidRPr="00214468" w:rsidRDefault="00214468" w:rsidP="00214468">
      <w:pPr>
        <w:spacing w:after="0" w:line="240" w:lineRule="auto"/>
        <w:rPr>
          <w:rFonts w:ascii="Bliss 2 Light" w:eastAsia="Calibri" w:hAnsi="Bliss 2 Light" w:cs="Times New Roman"/>
          <w:sz w:val="24"/>
          <w:szCs w:val="24"/>
        </w:rPr>
      </w:pPr>
    </w:p>
    <w:p w14:paraId="40FDE0D9" w14:textId="77777777" w:rsidR="00214468" w:rsidRPr="00214468" w:rsidRDefault="00214468" w:rsidP="00214468">
      <w:pPr>
        <w:spacing w:after="0" w:line="240" w:lineRule="auto"/>
        <w:rPr>
          <w:rFonts w:ascii="Bliss 2 Light" w:eastAsia="Calibri" w:hAnsi="Bliss 2 Light" w:cs="Times New Roman"/>
          <w:sz w:val="24"/>
          <w:szCs w:val="24"/>
        </w:rPr>
      </w:pPr>
      <w:r w:rsidRPr="00214468">
        <w:rPr>
          <w:rFonts w:ascii="Bliss 2 Light" w:eastAsia="Calibri" w:hAnsi="Bliss 2 Light" w:cs="Times New Roman"/>
          <w:sz w:val="24"/>
          <w:szCs w:val="24"/>
        </w:rPr>
        <w:t>With best wishes</w:t>
      </w:r>
    </w:p>
    <w:p w14:paraId="66A7BA2C" w14:textId="77777777" w:rsidR="00214468" w:rsidRPr="00214468" w:rsidRDefault="00214468" w:rsidP="00214468">
      <w:pPr>
        <w:spacing w:after="0" w:line="240" w:lineRule="auto"/>
        <w:rPr>
          <w:rFonts w:ascii="Bliss 2 Light" w:eastAsia="Calibri" w:hAnsi="Bliss 2 Light" w:cs="Times New Roman"/>
          <w:sz w:val="24"/>
          <w:szCs w:val="24"/>
        </w:rPr>
      </w:pPr>
    </w:p>
    <w:p w14:paraId="564B88CB" w14:textId="44FF481E" w:rsidR="00214468" w:rsidRPr="00214468" w:rsidRDefault="00214468" w:rsidP="00214468">
      <w:pPr>
        <w:spacing w:after="0" w:line="240" w:lineRule="auto"/>
        <w:rPr>
          <w:rFonts w:ascii="Bliss 2 Light" w:eastAsia="Calibri" w:hAnsi="Bliss 2 Light" w:cs="Times New Roman"/>
          <w:sz w:val="24"/>
          <w:szCs w:val="24"/>
        </w:rPr>
      </w:pPr>
      <w:r w:rsidRPr="001E32C1">
        <w:rPr>
          <w:noProof/>
          <w:lang w:eastAsia="en-GB"/>
        </w:rPr>
        <w:drawing>
          <wp:inline distT="0" distB="0" distL="0" distR="0" wp14:anchorId="67779A0C" wp14:editId="725DBA4A">
            <wp:extent cx="1905000" cy="12649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5000" cy="1264920"/>
                    </a:xfrm>
                    <a:prstGeom prst="rect">
                      <a:avLst/>
                    </a:prstGeom>
                    <a:noFill/>
                    <a:ln>
                      <a:noFill/>
                    </a:ln>
                  </pic:spPr>
                </pic:pic>
              </a:graphicData>
            </a:graphic>
          </wp:inline>
        </w:drawing>
      </w:r>
    </w:p>
    <w:p w14:paraId="2ACBB2FB" w14:textId="77777777" w:rsidR="00214468" w:rsidRPr="00214468" w:rsidRDefault="00214468" w:rsidP="00214468">
      <w:pPr>
        <w:spacing w:after="0" w:line="240" w:lineRule="auto"/>
        <w:rPr>
          <w:rFonts w:ascii="Bliss 2 Light" w:eastAsia="Calibri" w:hAnsi="Bliss 2 Light" w:cs="Times New Roman"/>
          <w:b/>
          <w:bCs/>
          <w:sz w:val="24"/>
          <w:szCs w:val="24"/>
        </w:rPr>
      </w:pPr>
      <w:r w:rsidRPr="00214468">
        <w:rPr>
          <w:rFonts w:ascii="Bliss 2 Light" w:eastAsia="Calibri" w:hAnsi="Bliss 2 Light" w:cs="Times New Roman"/>
          <w:b/>
          <w:bCs/>
          <w:sz w:val="24"/>
          <w:szCs w:val="24"/>
        </w:rPr>
        <w:t>Dr Julius Parker</w:t>
      </w:r>
    </w:p>
    <w:p w14:paraId="639E1BDA" w14:textId="77777777" w:rsidR="00214468" w:rsidRPr="00214468" w:rsidRDefault="00214468" w:rsidP="00214468">
      <w:pPr>
        <w:spacing w:after="0" w:line="240" w:lineRule="auto"/>
        <w:rPr>
          <w:rFonts w:ascii="Bliss 2 Light" w:eastAsia="Calibri" w:hAnsi="Bliss 2 Light" w:cs="Times New Roman"/>
          <w:sz w:val="24"/>
          <w:szCs w:val="24"/>
        </w:rPr>
      </w:pPr>
      <w:r w:rsidRPr="00214468">
        <w:rPr>
          <w:rFonts w:ascii="Bliss 2 Light" w:eastAsia="Calibri" w:hAnsi="Bliss 2 Light" w:cs="Times New Roman"/>
          <w:sz w:val="24"/>
          <w:szCs w:val="24"/>
        </w:rPr>
        <w:t>Chief Executive</w:t>
      </w:r>
    </w:p>
    <w:p w14:paraId="439F5DC6" w14:textId="77777777" w:rsidR="00214468" w:rsidRPr="00214468" w:rsidRDefault="00214468" w:rsidP="00214468">
      <w:pPr>
        <w:spacing w:after="0" w:line="240" w:lineRule="auto"/>
        <w:rPr>
          <w:rFonts w:ascii="Bliss 2 Light" w:eastAsia="Calibri" w:hAnsi="Bliss 2 Light" w:cs="Times New Roman"/>
          <w:sz w:val="24"/>
          <w:szCs w:val="24"/>
        </w:rPr>
      </w:pPr>
    </w:p>
    <w:p w14:paraId="438A0535" w14:textId="77777777" w:rsidR="005D45F8" w:rsidRDefault="005D45F8" w:rsidP="005D45F8">
      <w:pPr>
        <w:spacing w:after="0" w:line="240" w:lineRule="auto"/>
        <w:rPr>
          <w:rFonts w:ascii="Bliss 2 Light" w:eastAsia="Calibri" w:hAnsi="Bliss 2 Light" w:cs="Calibri"/>
          <w:sz w:val="24"/>
          <w:szCs w:val="24"/>
          <w:lang w:eastAsia="en-GB"/>
        </w:rPr>
      </w:pPr>
    </w:p>
    <w:p w14:paraId="768DDDB0" w14:textId="77777777" w:rsidR="008F153F" w:rsidRDefault="008F153F" w:rsidP="005D45F8">
      <w:pPr>
        <w:spacing w:after="0" w:line="240" w:lineRule="auto"/>
        <w:rPr>
          <w:rFonts w:ascii="Bliss 2 Light" w:eastAsia="Calibri" w:hAnsi="Bliss 2 Light" w:cs="Calibri"/>
          <w:sz w:val="24"/>
          <w:szCs w:val="24"/>
          <w:lang w:eastAsia="en-GB"/>
        </w:rPr>
      </w:pPr>
    </w:p>
    <w:bookmarkEnd w:id="0"/>
    <w:p w14:paraId="4273D954" w14:textId="77777777" w:rsidR="008F153F" w:rsidRPr="008F153F" w:rsidRDefault="008F153F" w:rsidP="005D45F8">
      <w:pPr>
        <w:spacing w:after="0" w:line="240" w:lineRule="auto"/>
        <w:rPr>
          <w:rFonts w:ascii="Bliss 2 Light" w:eastAsia="Calibri" w:hAnsi="Bliss 2 Light" w:cs="Calibri"/>
          <w:b/>
          <w:bCs/>
          <w:sz w:val="24"/>
          <w:szCs w:val="24"/>
          <w:lang w:eastAsia="en-GB"/>
        </w:rPr>
      </w:pPr>
    </w:p>
    <w:p w14:paraId="716551B7" w14:textId="77777777" w:rsidR="008F153F" w:rsidRPr="008F153F" w:rsidRDefault="008F153F" w:rsidP="005D45F8">
      <w:pPr>
        <w:spacing w:after="0" w:line="240" w:lineRule="auto"/>
        <w:rPr>
          <w:rFonts w:ascii="Bliss 2 Light" w:eastAsia="Calibri" w:hAnsi="Bliss 2 Light" w:cs="Calibri"/>
          <w:b/>
          <w:bCs/>
          <w:sz w:val="24"/>
          <w:szCs w:val="24"/>
          <w:lang w:eastAsia="en-GB"/>
        </w:rPr>
      </w:pPr>
    </w:p>
    <w:p w14:paraId="56FCD064" w14:textId="77777777" w:rsidR="008F153F" w:rsidRPr="008F153F" w:rsidRDefault="008F153F" w:rsidP="005D45F8">
      <w:pPr>
        <w:spacing w:line="240" w:lineRule="auto"/>
        <w:rPr>
          <w:rFonts w:ascii="Bliss 2 Light" w:eastAsia="Calibri" w:hAnsi="Bliss 2 Light" w:cs="Calibri"/>
          <w:b/>
          <w:bCs/>
          <w:sz w:val="24"/>
          <w:szCs w:val="24"/>
          <w:lang w:eastAsia="en-GB"/>
        </w:rPr>
      </w:pPr>
    </w:p>
    <w:p w14:paraId="4EDEDA79" w14:textId="01D8079B" w:rsidR="002D16CB" w:rsidRPr="002D16CB" w:rsidRDefault="002D16CB" w:rsidP="005D45F8">
      <w:pPr>
        <w:spacing w:line="240" w:lineRule="auto"/>
        <w:rPr>
          <w:rFonts w:ascii="Bliss 2 Light" w:eastAsia="Calibri" w:hAnsi="Bliss 2 Light" w:cs="Arial"/>
          <w:sz w:val="24"/>
          <w:szCs w:val="24"/>
        </w:rPr>
      </w:pPr>
    </w:p>
    <w:p w14:paraId="6E515222" w14:textId="06DE92CF" w:rsidR="009D7609" w:rsidRDefault="009D7609" w:rsidP="005D45F8"/>
    <w:p w14:paraId="23B2C932" w14:textId="1CDD4D45" w:rsidR="006217FB" w:rsidRDefault="006217FB" w:rsidP="005D45F8"/>
    <w:p w14:paraId="3E91C256" w14:textId="78D929AA" w:rsidR="000C27C0" w:rsidRPr="006217FB" w:rsidRDefault="000C27C0" w:rsidP="009D7609">
      <w:pPr>
        <w:spacing w:after="0" w:line="240" w:lineRule="auto"/>
        <w:rPr>
          <w:rFonts w:ascii="Bliss 2 Light" w:hAnsi="Bliss 2 Light"/>
          <w:sz w:val="24"/>
          <w:szCs w:val="24"/>
        </w:rPr>
      </w:pPr>
    </w:p>
    <w:sectPr w:rsidR="000C27C0" w:rsidRPr="006217FB" w:rsidSect="009D7609">
      <w:footerReference w:type="default" r:id="rId8"/>
      <w:headerReference w:type="first" r:id="rId9"/>
      <w:footerReference w:type="first" r:id="rId10"/>
      <w:pgSz w:w="11906" w:h="16838"/>
      <w:pgMar w:top="794" w:right="1418" w:bottom="1247" w:left="1418"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8E7D5" w14:textId="77777777" w:rsidR="00E40A67" w:rsidRDefault="00E40A67" w:rsidP="00D01AA4">
      <w:pPr>
        <w:spacing w:after="0" w:line="240" w:lineRule="auto"/>
      </w:pPr>
      <w:r>
        <w:separator/>
      </w:r>
    </w:p>
  </w:endnote>
  <w:endnote w:type="continuationSeparator" w:id="0">
    <w:p w14:paraId="4BFE8887" w14:textId="77777777" w:rsidR="00E40A67" w:rsidRDefault="00E40A67" w:rsidP="00D01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liss 2 Light">
    <w:altName w:val="Calibri"/>
    <w:panose1 w:val="02000506030000020004"/>
    <w:charset w:val="00"/>
    <w:family w:val="modern"/>
    <w:notTrueType/>
    <w:pitch w:val="variable"/>
    <w:sig w:usb0="A00000AF" w:usb1="5000204B"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6688430"/>
      <w:docPartObj>
        <w:docPartGallery w:val="Page Numbers (Bottom of Page)"/>
        <w:docPartUnique/>
      </w:docPartObj>
    </w:sdtPr>
    <w:sdtEndPr>
      <w:rPr>
        <w:noProof/>
      </w:rPr>
    </w:sdtEndPr>
    <w:sdtContent>
      <w:p w14:paraId="2DFAB9FB" w14:textId="33D0E71F" w:rsidR="001D0F36" w:rsidRDefault="001D0F36">
        <w:pPr>
          <w:pStyle w:val="Footer"/>
        </w:pPr>
        <w:r>
          <w:fldChar w:fldCharType="begin"/>
        </w:r>
        <w:r>
          <w:instrText xml:space="preserve"> PAGE   \* MERGEFORMAT </w:instrText>
        </w:r>
        <w:r>
          <w:fldChar w:fldCharType="separate"/>
        </w:r>
        <w:r>
          <w:rPr>
            <w:noProof/>
          </w:rPr>
          <w:t>2</w:t>
        </w:r>
        <w:r>
          <w:rPr>
            <w:noProof/>
          </w:rPr>
          <w:fldChar w:fldCharType="end"/>
        </w:r>
      </w:p>
    </w:sdtContent>
  </w:sdt>
  <w:p w14:paraId="253CF11D" w14:textId="77777777" w:rsidR="001D0F36" w:rsidRDefault="001D0F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0"/>
      <w:gridCol w:w="1559"/>
      <w:gridCol w:w="1863"/>
    </w:tblGrid>
    <w:tr w:rsidR="00D01AA4" w:rsidRPr="00D01AA4" w14:paraId="4591D33E" w14:textId="77777777" w:rsidTr="00CE61DA">
      <w:tc>
        <w:tcPr>
          <w:tcW w:w="7230" w:type="dxa"/>
        </w:tcPr>
        <w:p w14:paraId="405E5676" w14:textId="77777777" w:rsidR="00D01AA4" w:rsidRPr="002D16CB" w:rsidRDefault="00D01AA4">
          <w:pPr>
            <w:pStyle w:val="Footer"/>
            <w:rPr>
              <w:color w:val="808080"/>
              <w:sz w:val="18"/>
              <w:szCs w:val="18"/>
            </w:rPr>
          </w:pPr>
        </w:p>
      </w:tc>
      <w:tc>
        <w:tcPr>
          <w:tcW w:w="3422" w:type="dxa"/>
          <w:gridSpan w:val="2"/>
        </w:tcPr>
        <w:p w14:paraId="49E6F4C7" w14:textId="5DB69426" w:rsidR="00D01AA4" w:rsidRPr="002D16CB" w:rsidRDefault="00D01AA4">
          <w:pPr>
            <w:pStyle w:val="Footer"/>
            <w:rPr>
              <w:color w:val="808080"/>
              <w:sz w:val="18"/>
              <w:szCs w:val="18"/>
            </w:rPr>
          </w:pPr>
          <w:r w:rsidRPr="002D16CB">
            <w:rPr>
              <w:color w:val="808080"/>
              <w:sz w:val="18"/>
              <w:szCs w:val="18"/>
            </w:rPr>
            <w:t>Local Medical Committees for</w:t>
          </w:r>
        </w:p>
        <w:p w14:paraId="4F028693" w14:textId="77777777" w:rsidR="00D01AA4" w:rsidRPr="002D16CB" w:rsidRDefault="00D01AA4">
          <w:pPr>
            <w:pStyle w:val="Footer"/>
            <w:rPr>
              <w:color w:val="808080"/>
              <w:sz w:val="18"/>
              <w:szCs w:val="18"/>
            </w:rPr>
          </w:pPr>
          <w:r w:rsidRPr="002D16CB">
            <w:rPr>
              <w:color w:val="808080"/>
              <w:sz w:val="18"/>
              <w:szCs w:val="18"/>
            </w:rPr>
            <w:t xml:space="preserve">Croydon, Kingston &amp; Richmond, Surrey, East </w:t>
          </w:r>
          <w:proofErr w:type="gramStart"/>
          <w:r w:rsidRPr="002D16CB">
            <w:rPr>
              <w:color w:val="808080"/>
              <w:sz w:val="18"/>
              <w:szCs w:val="18"/>
            </w:rPr>
            <w:t>Sussex</w:t>
          </w:r>
          <w:proofErr w:type="gramEnd"/>
          <w:r w:rsidRPr="002D16CB">
            <w:rPr>
              <w:color w:val="808080"/>
              <w:sz w:val="18"/>
              <w:szCs w:val="18"/>
            </w:rPr>
            <w:t xml:space="preserve"> and West Sussex</w:t>
          </w:r>
        </w:p>
        <w:p w14:paraId="63DD8DB2" w14:textId="358F2170" w:rsidR="00D01AA4" w:rsidRPr="002D16CB" w:rsidRDefault="00D01AA4">
          <w:pPr>
            <w:pStyle w:val="Footer"/>
            <w:rPr>
              <w:color w:val="808080"/>
              <w:sz w:val="18"/>
              <w:szCs w:val="18"/>
            </w:rPr>
          </w:pPr>
        </w:p>
      </w:tc>
    </w:tr>
    <w:tr w:rsidR="00D01AA4" w:rsidRPr="00D01AA4" w14:paraId="707DC5E9" w14:textId="77777777" w:rsidTr="00CE61DA">
      <w:tc>
        <w:tcPr>
          <w:tcW w:w="7230" w:type="dxa"/>
        </w:tcPr>
        <w:p w14:paraId="58D08A79" w14:textId="77777777" w:rsidR="00D01AA4" w:rsidRPr="002D16CB" w:rsidRDefault="00D01AA4">
          <w:pPr>
            <w:pStyle w:val="Footer"/>
            <w:rPr>
              <w:color w:val="808080"/>
              <w:sz w:val="18"/>
              <w:szCs w:val="18"/>
            </w:rPr>
          </w:pPr>
        </w:p>
      </w:tc>
      <w:tc>
        <w:tcPr>
          <w:tcW w:w="1559" w:type="dxa"/>
        </w:tcPr>
        <w:p w14:paraId="0984560E" w14:textId="7E27D2D7" w:rsidR="00D01AA4" w:rsidRPr="002D16CB" w:rsidRDefault="00D01AA4">
          <w:pPr>
            <w:pStyle w:val="Footer"/>
            <w:rPr>
              <w:color w:val="808080"/>
              <w:sz w:val="18"/>
              <w:szCs w:val="18"/>
            </w:rPr>
          </w:pPr>
          <w:r w:rsidRPr="002D16CB">
            <w:rPr>
              <w:color w:val="808080"/>
              <w:sz w:val="18"/>
              <w:szCs w:val="18"/>
            </w:rPr>
            <w:t>The White House</w:t>
          </w:r>
        </w:p>
        <w:p w14:paraId="5C982935" w14:textId="77777777" w:rsidR="00D01AA4" w:rsidRPr="002D16CB" w:rsidRDefault="00D01AA4">
          <w:pPr>
            <w:pStyle w:val="Footer"/>
            <w:rPr>
              <w:color w:val="808080"/>
              <w:sz w:val="18"/>
              <w:szCs w:val="18"/>
            </w:rPr>
          </w:pPr>
          <w:r w:rsidRPr="002D16CB">
            <w:rPr>
              <w:color w:val="808080"/>
              <w:sz w:val="18"/>
              <w:szCs w:val="18"/>
            </w:rPr>
            <w:t>18 Church Road</w:t>
          </w:r>
        </w:p>
        <w:p w14:paraId="20E201DF" w14:textId="77777777" w:rsidR="00D01AA4" w:rsidRPr="002D16CB" w:rsidRDefault="00D01AA4">
          <w:pPr>
            <w:pStyle w:val="Footer"/>
            <w:rPr>
              <w:color w:val="808080"/>
              <w:sz w:val="18"/>
              <w:szCs w:val="18"/>
            </w:rPr>
          </w:pPr>
          <w:r w:rsidRPr="002D16CB">
            <w:rPr>
              <w:color w:val="808080"/>
              <w:sz w:val="18"/>
              <w:szCs w:val="18"/>
            </w:rPr>
            <w:t>Leatherhead</w:t>
          </w:r>
        </w:p>
        <w:p w14:paraId="125C9AC6" w14:textId="32627133" w:rsidR="00D01AA4" w:rsidRPr="002D16CB" w:rsidRDefault="00D01AA4">
          <w:pPr>
            <w:pStyle w:val="Footer"/>
            <w:rPr>
              <w:color w:val="808080"/>
              <w:sz w:val="18"/>
              <w:szCs w:val="18"/>
            </w:rPr>
          </w:pPr>
          <w:r w:rsidRPr="002D16CB">
            <w:rPr>
              <w:color w:val="808080"/>
              <w:sz w:val="18"/>
              <w:szCs w:val="18"/>
            </w:rPr>
            <w:t>Surrey KT22 8BB</w:t>
          </w:r>
        </w:p>
      </w:tc>
      <w:tc>
        <w:tcPr>
          <w:tcW w:w="1863" w:type="dxa"/>
        </w:tcPr>
        <w:p w14:paraId="23F01EEF" w14:textId="77777777" w:rsidR="00D01AA4" w:rsidRPr="002D16CB" w:rsidRDefault="00D01AA4">
          <w:pPr>
            <w:pStyle w:val="Footer"/>
            <w:rPr>
              <w:color w:val="808080"/>
              <w:sz w:val="18"/>
              <w:szCs w:val="18"/>
            </w:rPr>
          </w:pPr>
          <w:r w:rsidRPr="002D16CB">
            <w:rPr>
              <w:b/>
              <w:bCs/>
              <w:color w:val="808080"/>
              <w:sz w:val="18"/>
              <w:szCs w:val="18"/>
            </w:rPr>
            <w:t>T:</w:t>
          </w:r>
          <w:r w:rsidRPr="002D16CB">
            <w:rPr>
              <w:color w:val="808080"/>
              <w:sz w:val="18"/>
              <w:szCs w:val="18"/>
            </w:rPr>
            <w:t xml:space="preserve"> 01372 389270</w:t>
          </w:r>
        </w:p>
        <w:p w14:paraId="478AAED4" w14:textId="77777777" w:rsidR="00D01AA4" w:rsidRPr="002D16CB" w:rsidRDefault="00D01AA4">
          <w:pPr>
            <w:pStyle w:val="Footer"/>
            <w:rPr>
              <w:color w:val="808080"/>
              <w:sz w:val="18"/>
              <w:szCs w:val="18"/>
            </w:rPr>
          </w:pPr>
          <w:r w:rsidRPr="002D16CB">
            <w:rPr>
              <w:b/>
              <w:bCs/>
              <w:color w:val="808080"/>
              <w:sz w:val="18"/>
              <w:szCs w:val="18"/>
            </w:rPr>
            <w:t>F:</w:t>
          </w:r>
          <w:r w:rsidRPr="002D16CB">
            <w:rPr>
              <w:color w:val="808080"/>
              <w:sz w:val="18"/>
              <w:szCs w:val="18"/>
            </w:rPr>
            <w:t xml:space="preserve"> 01372 389271</w:t>
          </w:r>
        </w:p>
        <w:p w14:paraId="7BF5D2CB" w14:textId="77777777" w:rsidR="00D01AA4" w:rsidRPr="002D16CB" w:rsidRDefault="00D01AA4">
          <w:pPr>
            <w:pStyle w:val="Footer"/>
            <w:rPr>
              <w:color w:val="808080"/>
              <w:sz w:val="18"/>
              <w:szCs w:val="18"/>
            </w:rPr>
          </w:pPr>
        </w:p>
        <w:p w14:paraId="05AA474B" w14:textId="704A3071" w:rsidR="00D01AA4" w:rsidRPr="002D16CB" w:rsidRDefault="00D01AA4">
          <w:pPr>
            <w:pStyle w:val="Footer"/>
            <w:rPr>
              <w:b/>
              <w:bCs/>
              <w:color w:val="808080"/>
              <w:sz w:val="18"/>
              <w:szCs w:val="18"/>
            </w:rPr>
          </w:pPr>
          <w:r w:rsidRPr="002D16CB">
            <w:rPr>
              <w:b/>
              <w:bCs/>
              <w:color w:val="808080"/>
              <w:sz w:val="18"/>
              <w:szCs w:val="18"/>
            </w:rPr>
            <w:t>www.sslmcs.co.uk</w:t>
          </w:r>
        </w:p>
      </w:tc>
    </w:tr>
    <w:tr w:rsidR="00D01AA4" w:rsidRPr="00D01AA4" w14:paraId="14E8EC44" w14:textId="77777777" w:rsidTr="00CE61DA">
      <w:tc>
        <w:tcPr>
          <w:tcW w:w="7230" w:type="dxa"/>
        </w:tcPr>
        <w:p w14:paraId="134A2740" w14:textId="77777777" w:rsidR="00D01AA4" w:rsidRPr="002D16CB" w:rsidRDefault="00D01AA4">
          <w:pPr>
            <w:pStyle w:val="Footer"/>
            <w:rPr>
              <w:color w:val="808080"/>
              <w:sz w:val="18"/>
              <w:szCs w:val="18"/>
            </w:rPr>
          </w:pPr>
        </w:p>
        <w:p w14:paraId="39AB45FC" w14:textId="33E714C0" w:rsidR="00D01AA4" w:rsidRPr="00D01AA4" w:rsidRDefault="00D01AA4">
          <w:pPr>
            <w:pStyle w:val="Footer"/>
            <w:rPr>
              <w:color w:val="009999"/>
              <w:sz w:val="18"/>
              <w:szCs w:val="18"/>
              <w14:textFill>
                <w14:solidFill>
                  <w14:srgbClr w14:val="009999">
                    <w14:lumMod w14:val="50000"/>
                  </w14:srgbClr>
                </w14:solidFill>
              </w14:textFill>
            </w:rPr>
          </w:pPr>
          <w:r w:rsidRPr="00D01AA4">
            <w:rPr>
              <w:color w:val="009999"/>
              <w:sz w:val="18"/>
              <w:szCs w:val="18"/>
              <w14:textFill>
                <w14:solidFill>
                  <w14:srgbClr w14:val="009999">
                    <w14:lumMod w14:val="50000"/>
                  </w14:srgbClr>
                </w14:solidFill>
              </w14:textFill>
            </w:rPr>
            <w:t>Supporting and Representing all local NHS General Practitioners</w:t>
          </w:r>
        </w:p>
      </w:tc>
      <w:tc>
        <w:tcPr>
          <w:tcW w:w="3422" w:type="dxa"/>
          <w:gridSpan w:val="2"/>
        </w:tcPr>
        <w:p w14:paraId="2653D009" w14:textId="535D3446" w:rsidR="00D01AA4" w:rsidRPr="002D16CB" w:rsidRDefault="00D01AA4">
          <w:pPr>
            <w:pStyle w:val="Footer"/>
            <w:rPr>
              <w:color w:val="808080"/>
              <w:sz w:val="18"/>
              <w:szCs w:val="18"/>
            </w:rPr>
          </w:pPr>
        </w:p>
        <w:p w14:paraId="123EF926" w14:textId="0B0E3BC1" w:rsidR="00D01AA4" w:rsidRPr="002D16CB" w:rsidRDefault="00D01AA4">
          <w:pPr>
            <w:pStyle w:val="Footer"/>
            <w:rPr>
              <w:b/>
              <w:bCs/>
              <w:color w:val="808080"/>
              <w:sz w:val="18"/>
              <w:szCs w:val="18"/>
            </w:rPr>
          </w:pPr>
          <w:r w:rsidRPr="002D16CB">
            <w:rPr>
              <w:b/>
              <w:bCs/>
              <w:color w:val="808080"/>
              <w:sz w:val="18"/>
              <w:szCs w:val="18"/>
            </w:rPr>
            <w:t>Chief Executive: Dr Julius Parker</w:t>
          </w:r>
        </w:p>
      </w:tc>
    </w:tr>
  </w:tbl>
  <w:p w14:paraId="3BB4D368" w14:textId="77777777" w:rsidR="00D01AA4" w:rsidRDefault="00D01A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B3B2F" w14:textId="77777777" w:rsidR="00E40A67" w:rsidRDefault="00E40A67" w:rsidP="00D01AA4">
      <w:pPr>
        <w:spacing w:after="0" w:line="240" w:lineRule="auto"/>
      </w:pPr>
      <w:r>
        <w:separator/>
      </w:r>
    </w:p>
  </w:footnote>
  <w:footnote w:type="continuationSeparator" w:id="0">
    <w:p w14:paraId="18F462C6" w14:textId="77777777" w:rsidR="00E40A67" w:rsidRDefault="00E40A67" w:rsidP="00D01A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03E59" w14:textId="0083947D" w:rsidR="00D01AA4" w:rsidRDefault="00D01AA4">
    <w:pPr>
      <w:pStyle w:val="Header"/>
    </w:pPr>
    <w:r>
      <w:rPr>
        <w:noProof/>
        <w:lang w:eastAsia="en-GB"/>
      </w:rPr>
      <w:drawing>
        <wp:anchor distT="0" distB="0" distL="114300" distR="114300" simplePos="0" relativeHeight="251658240" behindDoc="1" locked="0" layoutInCell="1" allowOverlap="1" wp14:anchorId="52E41CDB" wp14:editId="75246ADB">
          <wp:simplePos x="0" y="0"/>
          <wp:positionH relativeFrom="column">
            <wp:posOffset>4114800</wp:posOffset>
          </wp:positionH>
          <wp:positionV relativeFrom="paragraph">
            <wp:posOffset>-116205</wp:posOffset>
          </wp:positionV>
          <wp:extent cx="2200275" cy="800100"/>
          <wp:effectExtent l="0" t="0" r="9525" b="0"/>
          <wp:wrapSquare wrapText="bothSides"/>
          <wp:docPr id="11" name="Picture 1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00275" cy="8001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07538"/>
    <w:multiLevelType w:val="hybridMultilevel"/>
    <w:tmpl w:val="361A12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EA4B64"/>
    <w:multiLevelType w:val="hybridMultilevel"/>
    <w:tmpl w:val="E0940842"/>
    <w:lvl w:ilvl="0" w:tplc="6250F2B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DB2652"/>
    <w:multiLevelType w:val="hybridMultilevel"/>
    <w:tmpl w:val="971CA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AA651B"/>
    <w:multiLevelType w:val="hybridMultilevel"/>
    <w:tmpl w:val="F8E86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57405D"/>
    <w:multiLevelType w:val="hybridMultilevel"/>
    <w:tmpl w:val="08E0D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444783"/>
    <w:multiLevelType w:val="hybridMultilevel"/>
    <w:tmpl w:val="44FCC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4F3D01"/>
    <w:multiLevelType w:val="hybridMultilevel"/>
    <w:tmpl w:val="3092B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545C70"/>
    <w:multiLevelType w:val="hybridMultilevel"/>
    <w:tmpl w:val="0174F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5334C2"/>
    <w:multiLevelType w:val="hybridMultilevel"/>
    <w:tmpl w:val="89E0C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FB3DD3"/>
    <w:multiLevelType w:val="hybridMultilevel"/>
    <w:tmpl w:val="10D660A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7"/>
  </w:num>
  <w:num w:numId="2">
    <w:abstractNumId w:val="2"/>
  </w:num>
  <w:num w:numId="3">
    <w:abstractNumId w:val="6"/>
  </w:num>
  <w:num w:numId="4">
    <w:abstractNumId w:val="1"/>
  </w:num>
  <w:num w:numId="5">
    <w:abstractNumId w:val="8"/>
  </w:num>
  <w:num w:numId="6">
    <w:abstractNumId w:val="9"/>
  </w:num>
  <w:num w:numId="7">
    <w:abstractNumId w:val="0"/>
  </w:num>
  <w:num w:numId="8">
    <w:abstractNumId w:val="5"/>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AA4"/>
    <w:rsid w:val="000C27C0"/>
    <w:rsid w:val="00123A5F"/>
    <w:rsid w:val="001D0F36"/>
    <w:rsid w:val="001E4440"/>
    <w:rsid w:val="001F7D30"/>
    <w:rsid w:val="00214468"/>
    <w:rsid w:val="002B2C5B"/>
    <w:rsid w:val="002D16CB"/>
    <w:rsid w:val="003061EF"/>
    <w:rsid w:val="00363725"/>
    <w:rsid w:val="00365F37"/>
    <w:rsid w:val="003A5D0D"/>
    <w:rsid w:val="003B5303"/>
    <w:rsid w:val="004204DF"/>
    <w:rsid w:val="004B37DC"/>
    <w:rsid w:val="00544382"/>
    <w:rsid w:val="005A6CC9"/>
    <w:rsid w:val="005D45F8"/>
    <w:rsid w:val="006217FB"/>
    <w:rsid w:val="00746F30"/>
    <w:rsid w:val="008473DB"/>
    <w:rsid w:val="0085042B"/>
    <w:rsid w:val="0088518C"/>
    <w:rsid w:val="008B6D23"/>
    <w:rsid w:val="008F153F"/>
    <w:rsid w:val="008F5B67"/>
    <w:rsid w:val="00934BF1"/>
    <w:rsid w:val="009D235C"/>
    <w:rsid w:val="009D7609"/>
    <w:rsid w:val="009F42B5"/>
    <w:rsid w:val="00A43B4B"/>
    <w:rsid w:val="00AB212F"/>
    <w:rsid w:val="00AF67B6"/>
    <w:rsid w:val="00B23DA0"/>
    <w:rsid w:val="00CB2D0A"/>
    <w:rsid w:val="00CE61DA"/>
    <w:rsid w:val="00D01AA4"/>
    <w:rsid w:val="00D3394A"/>
    <w:rsid w:val="00D4380E"/>
    <w:rsid w:val="00D84C0D"/>
    <w:rsid w:val="00D943B8"/>
    <w:rsid w:val="00D97835"/>
    <w:rsid w:val="00DC3C77"/>
    <w:rsid w:val="00E355BB"/>
    <w:rsid w:val="00E40A67"/>
    <w:rsid w:val="00E45794"/>
    <w:rsid w:val="00F74F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B2C8A8"/>
  <w15:chartTrackingRefBased/>
  <w15:docId w15:val="{8BF55B56-3010-4BD3-A1E1-059A9489A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A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1AA4"/>
  </w:style>
  <w:style w:type="paragraph" w:styleId="Footer">
    <w:name w:val="footer"/>
    <w:basedOn w:val="Normal"/>
    <w:link w:val="FooterChar"/>
    <w:uiPriority w:val="99"/>
    <w:unhideWhenUsed/>
    <w:rsid w:val="00D01A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1AA4"/>
  </w:style>
  <w:style w:type="table" w:styleId="TableGrid">
    <w:name w:val="Table Grid"/>
    <w:basedOn w:val="TableNormal"/>
    <w:uiPriority w:val="39"/>
    <w:rsid w:val="00D01A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7609"/>
    <w:pPr>
      <w:spacing w:after="0" w:line="240" w:lineRule="auto"/>
      <w:ind w:left="720"/>
      <w:contextualSpacing/>
    </w:pPr>
    <w:rPr>
      <w:rFonts w:ascii="Bliss 2 Light" w:hAnsi="Bliss 2 Light"/>
      <w:sz w:val="24"/>
    </w:rPr>
  </w:style>
  <w:style w:type="character" w:styleId="Hyperlink">
    <w:name w:val="Hyperlink"/>
    <w:basedOn w:val="DefaultParagraphFont"/>
    <w:uiPriority w:val="99"/>
    <w:semiHidden/>
    <w:unhideWhenUsed/>
    <w:rsid w:val="009D760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Parsons\Dropbox%20(SSLMCs)\Company%20Shared%20Folder\PM%20Liaison%20Officer\06.%20Practice%20Manager%20Guidance%20&amp;%20Useful%20Information\LMC%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LMC letterhead</Template>
  <TotalTime>2</TotalTime>
  <Pages>3</Pages>
  <Words>740</Words>
  <Characters>4221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Parsons</dc:creator>
  <cp:keywords/>
  <dc:description/>
  <cp:lastModifiedBy>Jane Forster</cp:lastModifiedBy>
  <cp:revision>2</cp:revision>
  <cp:lastPrinted>2021-09-09T13:25:00Z</cp:lastPrinted>
  <dcterms:created xsi:type="dcterms:W3CDTF">2021-12-08T17:01:00Z</dcterms:created>
  <dcterms:modified xsi:type="dcterms:W3CDTF">2021-12-08T17:01:00Z</dcterms:modified>
</cp:coreProperties>
</file>