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3CD2D" w14:textId="1A44F52C" w:rsidR="0085042B" w:rsidRDefault="0085042B" w:rsidP="00E45794">
      <w:pPr>
        <w:jc w:val="right"/>
      </w:pPr>
    </w:p>
    <w:p w14:paraId="627E5AFF" w14:textId="2475C374" w:rsidR="00477EDA" w:rsidRDefault="00477EDA" w:rsidP="00E45794">
      <w:pPr>
        <w:jc w:val="right"/>
      </w:pPr>
    </w:p>
    <w:p w14:paraId="54D7F24F" w14:textId="19CACF3C" w:rsidR="00477EDA" w:rsidRDefault="00477EDA" w:rsidP="00E45794">
      <w:pPr>
        <w:jc w:val="right"/>
      </w:pPr>
    </w:p>
    <w:p w14:paraId="19C09B67" w14:textId="77777777" w:rsidR="00477EDA" w:rsidRDefault="00477EDA" w:rsidP="00477EDA">
      <w:pPr>
        <w:spacing w:after="0" w:line="240" w:lineRule="auto"/>
        <w:rPr>
          <w:rFonts w:ascii="Bliss 2 Light" w:hAnsi="Bliss 2 Light"/>
          <w:b/>
          <w:bCs/>
          <w:sz w:val="24"/>
          <w:szCs w:val="24"/>
        </w:rPr>
      </w:pPr>
      <w:r>
        <w:rPr>
          <w:rFonts w:ascii="Bliss 2 Light" w:hAnsi="Bliss 2 Light"/>
          <w:b/>
          <w:bCs/>
          <w:sz w:val="24"/>
          <w:szCs w:val="24"/>
        </w:rPr>
        <w:t>To all practices Surrey and Sussex LMCs</w:t>
      </w:r>
    </w:p>
    <w:p w14:paraId="0D167246" w14:textId="77777777" w:rsidR="00477EDA" w:rsidRDefault="00477EDA" w:rsidP="00477EDA">
      <w:pPr>
        <w:spacing w:after="0" w:line="240" w:lineRule="auto"/>
        <w:rPr>
          <w:rFonts w:ascii="Bliss 2 Light" w:hAnsi="Bliss 2 Light"/>
          <w:b/>
          <w:bCs/>
          <w:sz w:val="24"/>
          <w:szCs w:val="24"/>
        </w:rPr>
      </w:pPr>
    </w:p>
    <w:p w14:paraId="312A8F38" w14:textId="77777777" w:rsidR="00477EDA" w:rsidRDefault="00477EDA" w:rsidP="00477EDA">
      <w:pPr>
        <w:spacing w:after="0" w:line="240" w:lineRule="auto"/>
        <w:jc w:val="right"/>
        <w:rPr>
          <w:rFonts w:ascii="Bliss 2 Light" w:hAnsi="Bliss 2 Light"/>
          <w:sz w:val="24"/>
          <w:szCs w:val="24"/>
        </w:rPr>
      </w:pPr>
      <w:r>
        <w:rPr>
          <w:rFonts w:ascii="Bliss 2 Light" w:hAnsi="Bliss 2 Light"/>
          <w:sz w:val="24"/>
          <w:szCs w:val="24"/>
        </w:rPr>
        <w:t>13</w:t>
      </w:r>
      <w:r w:rsidRPr="008F45F6">
        <w:rPr>
          <w:rFonts w:ascii="Bliss 2 Light" w:hAnsi="Bliss 2 Light"/>
          <w:sz w:val="24"/>
          <w:szCs w:val="24"/>
          <w:vertAlign w:val="superscript"/>
        </w:rPr>
        <w:t>th</w:t>
      </w:r>
      <w:r>
        <w:rPr>
          <w:rFonts w:ascii="Bliss 2 Light" w:hAnsi="Bliss 2 Light"/>
          <w:sz w:val="24"/>
          <w:szCs w:val="24"/>
        </w:rPr>
        <w:t xml:space="preserve"> April 2021</w:t>
      </w:r>
    </w:p>
    <w:p w14:paraId="48C51C21" w14:textId="77777777" w:rsidR="00477EDA" w:rsidRDefault="00477EDA" w:rsidP="00477EDA">
      <w:pPr>
        <w:spacing w:after="0" w:line="240" w:lineRule="auto"/>
        <w:jc w:val="right"/>
        <w:rPr>
          <w:rFonts w:ascii="Bliss 2 Light" w:hAnsi="Bliss 2 Light"/>
          <w:sz w:val="24"/>
          <w:szCs w:val="24"/>
        </w:rPr>
      </w:pPr>
    </w:p>
    <w:p w14:paraId="4CD4EE16" w14:textId="77777777" w:rsidR="00477EDA" w:rsidRDefault="00477EDA" w:rsidP="00477EDA">
      <w:pPr>
        <w:spacing w:after="0" w:line="240" w:lineRule="auto"/>
        <w:rPr>
          <w:rFonts w:ascii="Bliss 2 Light" w:hAnsi="Bliss 2 Light"/>
          <w:sz w:val="24"/>
          <w:szCs w:val="24"/>
        </w:rPr>
      </w:pPr>
      <w:r>
        <w:rPr>
          <w:rFonts w:ascii="Bliss 2 Light" w:hAnsi="Bliss 2 Light"/>
          <w:sz w:val="24"/>
          <w:szCs w:val="24"/>
        </w:rPr>
        <w:t>Dear Colleagues</w:t>
      </w:r>
    </w:p>
    <w:p w14:paraId="1FBEA281" w14:textId="77777777" w:rsidR="00477EDA" w:rsidRDefault="00477EDA" w:rsidP="00477EDA">
      <w:pPr>
        <w:spacing w:after="0" w:line="240" w:lineRule="auto"/>
        <w:rPr>
          <w:rFonts w:ascii="Bliss 2 Light" w:hAnsi="Bliss 2 Light"/>
          <w:sz w:val="24"/>
          <w:szCs w:val="24"/>
        </w:rPr>
      </w:pPr>
    </w:p>
    <w:p w14:paraId="6F6CE08A" w14:textId="77777777" w:rsidR="00477EDA" w:rsidRDefault="00477EDA" w:rsidP="00477EDA">
      <w:pPr>
        <w:spacing w:after="0" w:line="240" w:lineRule="auto"/>
        <w:rPr>
          <w:rFonts w:ascii="Bliss 2 Light" w:hAnsi="Bliss 2 Light"/>
          <w:b/>
          <w:bCs/>
          <w:sz w:val="24"/>
          <w:szCs w:val="24"/>
        </w:rPr>
      </w:pPr>
      <w:r>
        <w:rPr>
          <w:rFonts w:ascii="Bliss 2 Light" w:hAnsi="Bliss 2 Light"/>
          <w:b/>
          <w:bCs/>
          <w:sz w:val="24"/>
          <w:szCs w:val="24"/>
        </w:rPr>
        <w:t>Standardised GP Appointment Categories</w:t>
      </w:r>
    </w:p>
    <w:p w14:paraId="3EEEF862" w14:textId="77777777" w:rsidR="00477EDA" w:rsidRDefault="00477EDA" w:rsidP="00477EDA">
      <w:pPr>
        <w:spacing w:after="0" w:line="240" w:lineRule="auto"/>
        <w:rPr>
          <w:rFonts w:ascii="Bliss 2 Light" w:hAnsi="Bliss 2 Light"/>
          <w:b/>
          <w:bCs/>
          <w:sz w:val="24"/>
          <w:szCs w:val="24"/>
        </w:rPr>
      </w:pPr>
    </w:p>
    <w:p w14:paraId="70BB90F4" w14:textId="77777777" w:rsidR="00477EDA" w:rsidRDefault="00477EDA" w:rsidP="00477EDA">
      <w:pPr>
        <w:spacing w:after="0" w:line="240" w:lineRule="auto"/>
        <w:rPr>
          <w:rFonts w:ascii="Bliss 2 Light" w:hAnsi="Bliss 2 Light"/>
          <w:sz w:val="24"/>
          <w:szCs w:val="24"/>
        </w:rPr>
      </w:pPr>
      <w:r>
        <w:rPr>
          <w:rFonts w:ascii="Bliss 2 Light" w:hAnsi="Bliss 2 Light"/>
          <w:sz w:val="24"/>
          <w:szCs w:val="24"/>
        </w:rPr>
        <w:t xml:space="preserve">I enclose an important update for all practices regarding the identification of GP appointment categories; this is being standardised across England so that the data on GP appointments and utilisation that has been collected by NHS England since 2018 accurately reflects local GP practice data aggregated across PCNs, </w:t>
      </w:r>
      <w:proofErr w:type="gramStart"/>
      <w:r>
        <w:rPr>
          <w:rFonts w:ascii="Bliss 2 Light" w:hAnsi="Bliss 2 Light"/>
          <w:sz w:val="24"/>
          <w:szCs w:val="24"/>
        </w:rPr>
        <w:t>CCGs ,</w:t>
      </w:r>
      <w:proofErr w:type="gramEnd"/>
      <w:r>
        <w:rPr>
          <w:rFonts w:ascii="Bliss 2 Light" w:hAnsi="Bliss 2 Light"/>
          <w:sz w:val="24"/>
          <w:szCs w:val="24"/>
        </w:rPr>
        <w:t xml:space="preserve"> and wider footprints.  The funding for undertaking this work is included within the 2021/22 Investment and Impact Fund [Indicator ACC – 01]. NHS England advise on the basis of piloting this exercise it should only take one </w:t>
      </w:r>
      <w:proofErr w:type="gramStart"/>
      <w:r>
        <w:rPr>
          <w:rFonts w:ascii="Bliss 2 Light" w:hAnsi="Bliss 2 Light"/>
          <w:sz w:val="24"/>
          <w:szCs w:val="24"/>
        </w:rPr>
        <w:t>hour, but</w:t>
      </w:r>
      <w:proofErr w:type="gramEnd"/>
      <w:r>
        <w:rPr>
          <w:rFonts w:ascii="Bliss 2 Light" w:hAnsi="Bliss 2 Light"/>
          <w:sz w:val="24"/>
          <w:szCs w:val="24"/>
        </w:rPr>
        <w:t xml:space="preserve"> depending on the complexity of each practices appointment system.</w:t>
      </w:r>
    </w:p>
    <w:p w14:paraId="66B4DA2C" w14:textId="77777777" w:rsidR="00477EDA" w:rsidRDefault="00477EDA" w:rsidP="00477EDA">
      <w:pPr>
        <w:spacing w:after="0" w:line="240" w:lineRule="auto"/>
        <w:rPr>
          <w:rFonts w:ascii="Bliss 2 Light" w:hAnsi="Bliss 2 Light"/>
          <w:sz w:val="24"/>
          <w:szCs w:val="24"/>
        </w:rPr>
      </w:pPr>
    </w:p>
    <w:p w14:paraId="4322BBCD" w14:textId="77777777" w:rsidR="00477EDA" w:rsidRDefault="00477EDA" w:rsidP="00477EDA">
      <w:pPr>
        <w:spacing w:after="0" w:line="240" w:lineRule="auto"/>
        <w:rPr>
          <w:rFonts w:ascii="Bliss 2 Light" w:hAnsi="Bliss 2 Light"/>
          <w:sz w:val="24"/>
          <w:szCs w:val="24"/>
        </w:rPr>
      </w:pPr>
      <w:r>
        <w:rPr>
          <w:rFonts w:ascii="Bliss 2 Light" w:hAnsi="Bliss 2 Light"/>
          <w:sz w:val="24"/>
          <w:szCs w:val="24"/>
        </w:rPr>
        <w:t xml:space="preserve">All practices should read the guidance available </w:t>
      </w:r>
      <w:proofErr w:type="gramStart"/>
      <w:r>
        <w:rPr>
          <w:rFonts w:ascii="Bliss 2 Light" w:hAnsi="Bliss 2 Light"/>
          <w:sz w:val="24"/>
          <w:szCs w:val="24"/>
        </w:rPr>
        <w:t>at:-</w:t>
      </w:r>
      <w:proofErr w:type="gramEnd"/>
    </w:p>
    <w:p w14:paraId="268B7DF1" w14:textId="77777777" w:rsidR="00477EDA" w:rsidRDefault="00477EDA" w:rsidP="00477EDA">
      <w:pPr>
        <w:spacing w:after="0" w:line="240" w:lineRule="auto"/>
        <w:rPr>
          <w:rFonts w:ascii="Bliss 2 Light" w:hAnsi="Bliss 2 Light"/>
          <w:sz w:val="24"/>
          <w:szCs w:val="24"/>
        </w:rPr>
      </w:pPr>
    </w:p>
    <w:p w14:paraId="506B518E" w14:textId="77777777" w:rsidR="00477EDA" w:rsidRDefault="00477EDA" w:rsidP="00477EDA">
      <w:pPr>
        <w:spacing w:after="0" w:line="240" w:lineRule="auto"/>
        <w:rPr>
          <w:rStyle w:val="Hyperlink"/>
          <w:rFonts w:ascii="Bliss 2 Light" w:hAnsi="Bliss 2 Light"/>
          <w:color w:val="0000FF"/>
          <w:sz w:val="24"/>
          <w:szCs w:val="24"/>
        </w:rPr>
      </w:pPr>
      <w:hyperlink r:id="rId7" w:history="1">
        <w:r w:rsidRPr="00CD741F">
          <w:rPr>
            <w:rStyle w:val="Hyperlink"/>
            <w:rFonts w:ascii="Bliss 2 Light" w:hAnsi="Bliss 2 Light"/>
            <w:color w:val="0000FF"/>
            <w:sz w:val="24"/>
            <w:szCs w:val="24"/>
          </w:rPr>
          <w:t>NHS England » Network Contract Directed Enhanced Service – Standardised GP Appointment Categories – 2021/22</w:t>
        </w:r>
      </w:hyperlink>
    </w:p>
    <w:p w14:paraId="4024879B" w14:textId="77777777" w:rsidR="00477EDA" w:rsidRDefault="00477EDA" w:rsidP="00477EDA">
      <w:pPr>
        <w:spacing w:after="0" w:line="240" w:lineRule="auto"/>
        <w:rPr>
          <w:rStyle w:val="Hyperlink"/>
          <w:rFonts w:ascii="Bliss 2 Light" w:hAnsi="Bliss 2 Light"/>
          <w:color w:val="0000FF"/>
          <w:sz w:val="24"/>
          <w:szCs w:val="24"/>
        </w:rPr>
      </w:pPr>
    </w:p>
    <w:p w14:paraId="5473290A" w14:textId="77777777" w:rsidR="00477EDA" w:rsidRPr="00862616" w:rsidRDefault="00477EDA" w:rsidP="00477EDA">
      <w:pPr>
        <w:spacing w:after="0" w:line="240" w:lineRule="auto"/>
        <w:rPr>
          <w:rFonts w:ascii="Bliss 2 Light" w:hAnsi="Bliss 2 Light"/>
          <w:sz w:val="24"/>
          <w:szCs w:val="24"/>
        </w:rPr>
      </w:pPr>
      <w:r w:rsidRPr="00862616">
        <w:rPr>
          <w:rStyle w:val="Hyperlink"/>
          <w:rFonts w:ascii="Bliss 2 Light" w:hAnsi="Bliss 2 Light"/>
          <w:color w:val="auto"/>
          <w:sz w:val="24"/>
          <w:szCs w:val="24"/>
          <w:u w:val="none"/>
        </w:rPr>
        <w:t>I also enclose a copy of the associated Regulations, at Appendix 1.</w:t>
      </w:r>
    </w:p>
    <w:p w14:paraId="60FA3567" w14:textId="77777777" w:rsidR="00477EDA" w:rsidRDefault="00477EDA" w:rsidP="00477EDA">
      <w:pPr>
        <w:spacing w:after="0" w:line="240" w:lineRule="auto"/>
        <w:rPr>
          <w:rFonts w:ascii="Bliss 2 Light" w:hAnsi="Bliss 2 Light"/>
          <w:sz w:val="24"/>
          <w:szCs w:val="24"/>
        </w:rPr>
      </w:pPr>
    </w:p>
    <w:p w14:paraId="79DFA946" w14:textId="77777777" w:rsidR="00477EDA" w:rsidRDefault="00477EDA" w:rsidP="00477EDA">
      <w:pPr>
        <w:spacing w:after="0" w:line="240" w:lineRule="auto"/>
        <w:rPr>
          <w:rFonts w:ascii="Bliss 2 Light" w:hAnsi="Bliss 2 Light"/>
          <w:b/>
          <w:bCs/>
          <w:sz w:val="24"/>
          <w:szCs w:val="24"/>
        </w:rPr>
      </w:pPr>
      <w:r>
        <w:rPr>
          <w:rFonts w:ascii="Bliss 2 Light" w:hAnsi="Bliss 2 Light"/>
          <w:b/>
          <w:bCs/>
          <w:sz w:val="24"/>
          <w:szCs w:val="24"/>
        </w:rPr>
        <w:t>Appointment definition</w:t>
      </w:r>
    </w:p>
    <w:p w14:paraId="146DE21C" w14:textId="77777777" w:rsidR="00477EDA" w:rsidRDefault="00477EDA" w:rsidP="00477EDA">
      <w:pPr>
        <w:spacing w:after="0" w:line="240" w:lineRule="auto"/>
        <w:rPr>
          <w:rFonts w:ascii="Bliss 2 Light" w:hAnsi="Bliss 2 Light"/>
          <w:b/>
          <w:bCs/>
          <w:sz w:val="24"/>
          <w:szCs w:val="24"/>
        </w:rPr>
      </w:pPr>
    </w:p>
    <w:p w14:paraId="5688136D" w14:textId="77777777" w:rsidR="00477EDA" w:rsidRDefault="00477EDA" w:rsidP="00477EDA">
      <w:pPr>
        <w:spacing w:after="0" w:line="240" w:lineRule="auto"/>
        <w:rPr>
          <w:rFonts w:ascii="Bliss 2 Light" w:hAnsi="Bliss 2 Light"/>
          <w:sz w:val="24"/>
          <w:szCs w:val="24"/>
        </w:rPr>
      </w:pPr>
      <w:r>
        <w:rPr>
          <w:rFonts w:ascii="Bliss 2 Light" w:hAnsi="Bliss 2 Light"/>
          <w:sz w:val="24"/>
          <w:szCs w:val="24"/>
        </w:rPr>
        <w:t>All appointments should be recorded in a practice appointment ‘book’, this includes appointments undertaken by General Practice employed/engaged staff and ARRS staff, in all modes [F2F, telephone, video or on-line] and in all settings, including at the practice, the patients place of residence, or community settings, such as access hubs.  DNAs should be also recorded.</w:t>
      </w:r>
    </w:p>
    <w:p w14:paraId="3D5E32D6" w14:textId="77777777" w:rsidR="00477EDA" w:rsidRDefault="00477EDA" w:rsidP="00477EDA">
      <w:pPr>
        <w:spacing w:after="0" w:line="240" w:lineRule="auto"/>
        <w:rPr>
          <w:rFonts w:ascii="Bliss 2 Light" w:hAnsi="Bliss 2 Light"/>
          <w:sz w:val="24"/>
          <w:szCs w:val="24"/>
        </w:rPr>
      </w:pPr>
    </w:p>
    <w:p w14:paraId="61D10758" w14:textId="77777777" w:rsidR="00477EDA" w:rsidRDefault="00477EDA" w:rsidP="00477EDA">
      <w:pPr>
        <w:spacing w:after="0" w:line="240" w:lineRule="auto"/>
        <w:rPr>
          <w:rFonts w:ascii="Bliss 2 Light" w:hAnsi="Bliss 2 Light"/>
          <w:sz w:val="24"/>
          <w:szCs w:val="24"/>
        </w:rPr>
      </w:pPr>
      <w:r>
        <w:rPr>
          <w:rFonts w:ascii="Bliss 2 Light" w:hAnsi="Bliss 2 Light"/>
          <w:sz w:val="24"/>
          <w:szCs w:val="24"/>
        </w:rPr>
        <w:t xml:space="preserve">The following should not be recorded as </w:t>
      </w:r>
      <w:proofErr w:type="gramStart"/>
      <w:r>
        <w:rPr>
          <w:rFonts w:ascii="Bliss 2 Light" w:hAnsi="Bliss 2 Light"/>
          <w:sz w:val="24"/>
          <w:szCs w:val="24"/>
        </w:rPr>
        <w:t>appointments:-</w:t>
      </w:r>
      <w:proofErr w:type="gramEnd"/>
    </w:p>
    <w:p w14:paraId="2B139F60" w14:textId="77777777" w:rsidR="00477EDA" w:rsidRDefault="00477EDA" w:rsidP="00477EDA">
      <w:pPr>
        <w:spacing w:after="0" w:line="240" w:lineRule="auto"/>
        <w:rPr>
          <w:rFonts w:ascii="Bliss 2 Light" w:hAnsi="Bliss 2 Light"/>
          <w:sz w:val="24"/>
          <w:szCs w:val="24"/>
        </w:rPr>
      </w:pPr>
    </w:p>
    <w:p w14:paraId="2AD5E8A3" w14:textId="77777777" w:rsidR="00477EDA" w:rsidRDefault="00477EDA" w:rsidP="00477EDA">
      <w:pPr>
        <w:pStyle w:val="ListParagraph"/>
        <w:numPr>
          <w:ilvl w:val="0"/>
          <w:numId w:val="1"/>
        </w:numPr>
        <w:spacing w:after="0" w:line="240" w:lineRule="auto"/>
        <w:rPr>
          <w:rFonts w:ascii="Bliss 2 Light" w:hAnsi="Bliss 2 Light"/>
          <w:sz w:val="24"/>
          <w:szCs w:val="24"/>
        </w:rPr>
      </w:pPr>
      <w:r>
        <w:rPr>
          <w:rFonts w:ascii="Bliss 2 Light" w:hAnsi="Bliss 2 Light"/>
          <w:sz w:val="24"/>
          <w:szCs w:val="24"/>
        </w:rPr>
        <w:t>Purely administrative interactions between practice staff and patients</w:t>
      </w:r>
    </w:p>
    <w:p w14:paraId="6B4A88FB" w14:textId="77777777" w:rsidR="00477EDA" w:rsidRDefault="00477EDA" w:rsidP="00477EDA">
      <w:pPr>
        <w:pStyle w:val="ListParagraph"/>
        <w:numPr>
          <w:ilvl w:val="0"/>
          <w:numId w:val="1"/>
        </w:numPr>
        <w:spacing w:after="0" w:line="240" w:lineRule="auto"/>
        <w:rPr>
          <w:rFonts w:ascii="Bliss 2 Light" w:hAnsi="Bliss 2 Light"/>
          <w:sz w:val="24"/>
          <w:szCs w:val="24"/>
        </w:rPr>
      </w:pPr>
      <w:r>
        <w:rPr>
          <w:rFonts w:ascii="Bliss 2 Light" w:hAnsi="Bliss 2 Light"/>
          <w:sz w:val="24"/>
          <w:szCs w:val="24"/>
        </w:rPr>
        <w:t xml:space="preserve">Work that does not involve patient contact such as MDTs, case conferences, referral letter preparation, reviewing </w:t>
      </w:r>
      <w:proofErr w:type="gramStart"/>
      <w:r>
        <w:rPr>
          <w:rFonts w:ascii="Bliss 2 Light" w:hAnsi="Bliss 2 Light"/>
          <w:sz w:val="24"/>
          <w:szCs w:val="24"/>
        </w:rPr>
        <w:t>results</w:t>
      </w:r>
      <w:proofErr w:type="gramEnd"/>
    </w:p>
    <w:p w14:paraId="2576083C" w14:textId="77777777" w:rsidR="00477EDA" w:rsidRDefault="00477EDA" w:rsidP="00477EDA">
      <w:pPr>
        <w:pStyle w:val="ListParagraph"/>
        <w:numPr>
          <w:ilvl w:val="0"/>
          <w:numId w:val="1"/>
        </w:numPr>
        <w:spacing w:after="0" w:line="240" w:lineRule="auto"/>
        <w:rPr>
          <w:rFonts w:ascii="Bliss 2 Light" w:hAnsi="Bliss 2 Light"/>
          <w:sz w:val="24"/>
          <w:szCs w:val="24"/>
        </w:rPr>
      </w:pPr>
      <w:r>
        <w:rPr>
          <w:rFonts w:ascii="Bliss 2 Light" w:hAnsi="Bliss 2 Light"/>
          <w:sz w:val="24"/>
          <w:szCs w:val="24"/>
        </w:rPr>
        <w:t>Clinical supervision activity</w:t>
      </w:r>
    </w:p>
    <w:p w14:paraId="3C26B3CC" w14:textId="77777777" w:rsidR="00477EDA" w:rsidRDefault="00477EDA" w:rsidP="00477EDA">
      <w:pPr>
        <w:pStyle w:val="ListParagraph"/>
        <w:numPr>
          <w:ilvl w:val="0"/>
          <w:numId w:val="1"/>
        </w:numPr>
        <w:spacing w:after="0" w:line="240" w:lineRule="auto"/>
        <w:rPr>
          <w:rFonts w:ascii="Bliss 2 Light" w:hAnsi="Bliss 2 Light"/>
          <w:sz w:val="24"/>
          <w:szCs w:val="24"/>
        </w:rPr>
      </w:pPr>
      <w:r>
        <w:rPr>
          <w:rFonts w:ascii="Bliss 2 Light" w:hAnsi="Bliss 2 Light"/>
          <w:sz w:val="24"/>
          <w:szCs w:val="24"/>
        </w:rPr>
        <w:t>PPG meetings</w:t>
      </w:r>
    </w:p>
    <w:p w14:paraId="33CC7652" w14:textId="425A6CC3" w:rsidR="00477EDA" w:rsidRDefault="00477EDA" w:rsidP="00477EDA">
      <w:pPr>
        <w:spacing w:after="0" w:line="240" w:lineRule="auto"/>
        <w:rPr>
          <w:rFonts w:ascii="Bliss 2 Light" w:hAnsi="Bliss 2 Light"/>
          <w:sz w:val="24"/>
          <w:szCs w:val="24"/>
        </w:rPr>
      </w:pPr>
    </w:p>
    <w:p w14:paraId="220B4371" w14:textId="25270E49" w:rsidR="0047759C" w:rsidRDefault="0047759C" w:rsidP="00477EDA">
      <w:pPr>
        <w:spacing w:after="0" w:line="240" w:lineRule="auto"/>
        <w:rPr>
          <w:rFonts w:ascii="Bliss 2 Light" w:hAnsi="Bliss 2 Light"/>
          <w:sz w:val="24"/>
          <w:szCs w:val="24"/>
        </w:rPr>
      </w:pPr>
    </w:p>
    <w:p w14:paraId="665BBDE4" w14:textId="77777777" w:rsidR="0047759C" w:rsidRDefault="0047759C" w:rsidP="00477EDA">
      <w:pPr>
        <w:spacing w:after="0" w:line="240" w:lineRule="auto"/>
        <w:rPr>
          <w:rFonts w:ascii="Bliss 2 Light" w:hAnsi="Bliss 2 Light"/>
          <w:sz w:val="24"/>
          <w:szCs w:val="24"/>
        </w:rPr>
      </w:pPr>
    </w:p>
    <w:p w14:paraId="45E40021" w14:textId="77777777" w:rsidR="00477EDA" w:rsidRDefault="00477EDA" w:rsidP="00477EDA">
      <w:pPr>
        <w:spacing w:after="0" w:line="240" w:lineRule="auto"/>
        <w:rPr>
          <w:rFonts w:ascii="Bliss 2 Light" w:hAnsi="Bliss 2 Light"/>
          <w:sz w:val="24"/>
          <w:szCs w:val="24"/>
        </w:rPr>
      </w:pPr>
      <w:r>
        <w:rPr>
          <w:rFonts w:ascii="Bliss 2 Light" w:hAnsi="Bliss 2 Light"/>
          <w:sz w:val="24"/>
          <w:szCs w:val="24"/>
        </w:rPr>
        <w:lastRenderedPageBreak/>
        <w:t xml:space="preserve">Further details are included in the following </w:t>
      </w:r>
      <w:proofErr w:type="gramStart"/>
      <w:r>
        <w:rPr>
          <w:rFonts w:ascii="Bliss 2 Light" w:hAnsi="Bliss 2 Light"/>
          <w:sz w:val="24"/>
          <w:szCs w:val="24"/>
        </w:rPr>
        <w:t>guidance:-</w:t>
      </w:r>
      <w:proofErr w:type="gramEnd"/>
    </w:p>
    <w:p w14:paraId="56E5D1BF" w14:textId="77777777" w:rsidR="00477EDA" w:rsidRDefault="00477EDA" w:rsidP="00477EDA">
      <w:pPr>
        <w:spacing w:after="0" w:line="240" w:lineRule="auto"/>
      </w:pPr>
    </w:p>
    <w:p w14:paraId="49AC6B78" w14:textId="77777777" w:rsidR="00477EDA" w:rsidRDefault="00477EDA" w:rsidP="00477EDA">
      <w:pPr>
        <w:spacing w:after="0" w:line="240" w:lineRule="auto"/>
        <w:rPr>
          <w:rFonts w:ascii="Bliss 2 Light" w:hAnsi="Bliss 2 Light"/>
          <w:sz w:val="24"/>
          <w:szCs w:val="24"/>
        </w:rPr>
      </w:pPr>
      <w:hyperlink r:id="rId8" w:history="1">
        <w:r w:rsidRPr="00CD741F">
          <w:rPr>
            <w:rStyle w:val="Hyperlink"/>
            <w:rFonts w:ascii="Bliss 2 Light" w:hAnsi="Bliss 2 Light"/>
            <w:color w:val="0000FF"/>
            <w:sz w:val="24"/>
            <w:szCs w:val="24"/>
          </w:rPr>
          <w:t>PowerPoint Presentation (england.nhs.uk)</w:t>
        </w:r>
      </w:hyperlink>
    </w:p>
    <w:p w14:paraId="76A3C7B0" w14:textId="77777777" w:rsidR="00477EDA" w:rsidRDefault="00477EDA" w:rsidP="00477EDA">
      <w:pPr>
        <w:spacing w:after="0" w:line="240" w:lineRule="auto"/>
        <w:rPr>
          <w:rFonts w:ascii="Bliss 2 Light" w:hAnsi="Bliss 2 Light"/>
          <w:sz w:val="24"/>
          <w:szCs w:val="24"/>
        </w:rPr>
      </w:pPr>
    </w:p>
    <w:p w14:paraId="043096C3" w14:textId="77777777" w:rsidR="00477EDA" w:rsidRDefault="00477EDA" w:rsidP="00477EDA">
      <w:pPr>
        <w:spacing w:after="0" w:line="240" w:lineRule="auto"/>
        <w:rPr>
          <w:rFonts w:ascii="Bliss 2 Light" w:hAnsi="Bliss 2 Light"/>
          <w:sz w:val="24"/>
          <w:szCs w:val="24"/>
        </w:rPr>
      </w:pPr>
      <w:r>
        <w:rPr>
          <w:rFonts w:ascii="Bliss 2 Light" w:hAnsi="Bliss 2 Light"/>
          <w:sz w:val="24"/>
          <w:szCs w:val="24"/>
        </w:rPr>
        <w:t>Practice IT providers are introducing functionality for this change and practices should be notified when this occurs.</w:t>
      </w:r>
    </w:p>
    <w:p w14:paraId="1CB1E60B" w14:textId="77777777" w:rsidR="00477EDA" w:rsidRDefault="00477EDA" w:rsidP="00477EDA">
      <w:pPr>
        <w:spacing w:after="0" w:line="240" w:lineRule="auto"/>
        <w:rPr>
          <w:rFonts w:ascii="Bliss 2 Light" w:hAnsi="Bliss 2 Light"/>
          <w:b/>
          <w:bCs/>
          <w:sz w:val="24"/>
          <w:szCs w:val="24"/>
        </w:rPr>
      </w:pPr>
    </w:p>
    <w:p w14:paraId="6FD2FEEC" w14:textId="77777777" w:rsidR="00477EDA" w:rsidRDefault="00477EDA" w:rsidP="00477EDA">
      <w:pPr>
        <w:spacing w:after="0" w:line="240" w:lineRule="auto"/>
        <w:rPr>
          <w:rFonts w:ascii="Bliss 2 Light" w:hAnsi="Bliss 2 Light"/>
          <w:b/>
          <w:bCs/>
          <w:sz w:val="24"/>
          <w:szCs w:val="24"/>
        </w:rPr>
      </w:pPr>
      <w:r>
        <w:rPr>
          <w:rFonts w:ascii="Bliss 2 Light" w:hAnsi="Bliss 2 Light"/>
          <w:b/>
          <w:bCs/>
          <w:sz w:val="24"/>
          <w:szCs w:val="24"/>
        </w:rPr>
        <w:t>GP appointment categories</w:t>
      </w:r>
    </w:p>
    <w:p w14:paraId="0C8A9627" w14:textId="77777777" w:rsidR="00477EDA" w:rsidRDefault="00477EDA" w:rsidP="00477EDA">
      <w:pPr>
        <w:spacing w:after="0" w:line="240" w:lineRule="auto"/>
        <w:rPr>
          <w:rFonts w:ascii="Bliss 2 Light" w:hAnsi="Bliss 2 Light"/>
          <w:b/>
          <w:bCs/>
          <w:sz w:val="24"/>
          <w:szCs w:val="24"/>
        </w:rPr>
      </w:pPr>
    </w:p>
    <w:p w14:paraId="3BAF17BB" w14:textId="77777777" w:rsidR="00477EDA" w:rsidRDefault="00477EDA" w:rsidP="00477EDA">
      <w:pPr>
        <w:spacing w:after="0" w:line="240" w:lineRule="auto"/>
        <w:rPr>
          <w:rFonts w:ascii="Bliss 2 Light" w:hAnsi="Bliss 2 Light"/>
          <w:sz w:val="24"/>
          <w:szCs w:val="24"/>
        </w:rPr>
      </w:pPr>
      <w:r>
        <w:rPr>
          <w:rFonts w:ascii="Bliss 2 Light" w:hAnsi="Bliss 2 Light"/>
          <w:sz w:val="24"/>
          <w:szCs w:val="24"/>
        </w:rPr>
        <w:t xml:space="preserve">There are four available service </w:t>
      </w:r>
      <w:proofErr w:type="gramStart"/>
      <w:r>
        <w:rPr>
          <w:rFonts w:ascii="Bliss 2 Light" w:hAnsi="Bliss 2 Light"/>
          <w:sz w:val="24"/>
          <w:szCs w:val="24"/>
        </w:rPr>
        <w:t>settings:-</w:t>
      </w:r>
      <w:proofErr w:type="gramEnd"/>
    </w:p>
    <w:p w14:paraId="472E384D" w14:textId="77777777" w:rsidR="00477EDA" w:rsidRDefault="00477EDA" w:rsidP="00477EDA">
      <w:pPr>
        <w:spacing w:after="0" w:line="240" w:lineRule="auto"/>
        <w:rPr>
          <w:rFonts w:ascii="Bliss 2 Light" w:hAnsi="Bliss 2 Light"/>
          <w:sz w:val="24"/>
          <w:szCs w:val="24"/>
        </w:rPr>
      </w:pPr>
    </w:p>
    <w:p w14:paraId="5332B3DE" w14:textId="77777777" w:rsidR="00477EDA" w:rsidRDefault="00477EDA" w:rsidP="00477EDA">
      <w:pPr>
        <w:pStyle w:val="ListParagraph"/>
        <w:numPr>
          <w:ilvl w:val="0"/>
          <w:numId w:val="2"/>
        </w:numPr>
        <w:spacing w:after="0" w:line="240" w:lineRule="auto"/>
        <w:rPr>
          <w:rFonts w:ascii="Bliss 2 Light" w:hAnsi="Bliss 2 Light"/>
          <w:sz w:val="24"/>
          <w:szCs w:val="24"/>
        </w:rPr>
      </w:pPr>
      <w:r>
        <w:rPr>
          <w:rFonts w:ascii="Bliss 2 Light" w:hAnsi="Bliss 2 Light"/>
          <w:b/>
          <w:bCs/>
          <w:sz w:val="24"/>
          <w:szCs w:val="24"/>
        </w:rPr>
        <w:t>General Practice</w:t>
      </w:r>
      <w:r>
        <w:rPr>
          <w:rFonts w:ascii="Bliss 2 Light" w:hAnsi="Bliss 2 Light"/>
          <w:sz w:val="24"/>
          <w:szCs w:val="24"/>
        </w:rPr>
        <w:t xml:space="preserve">:  all appointments delivered under the primary medical service Contract, which will be the </w:t>
      </w:r>
      <w:proofErr w:type="gramStart"/>
      <w:r>
        <w:rPr>
          <w:rFonts w:ascii="Bliss 2 Light" w:hAnsi="Bliss 2 Light"/>
          <w:sz w:val="24"/>
          <w:szCs w:val="24"/>
        </w:rPr>
        <w:t>majority</w:t>
      </w:r>
      <w:proofErr w:type="gramEnd"/>
    </w:p>
    <w:p w14:paraId="5B2B39F1" w14:textId="77777777" w:rsidR="00477EDA" w:rsidRDefault="00477EDA" w:rsidP="00477EDA">
      <w:pPr>
        <w:pStyle w:val="ListParagraph"/>
        <w:numPr>
          <w:ilvl w:val="0"/>
          <w:numId w:val="2"/>
        </w:numPr>
        <w:spacing w:after="0" w:line="240" w:lineRule="auto"/>
        <w:rPr>
          <w:rFonts w:ascii="Bliss 2 Light" w:hAnsi="Bliss 2 Light"/>
          <w:sz w:val="24"/>
          <w:szCs w:val="24"/>
        </w:rPr>
      </w:pPr>
      <w:r>
        <w:rPr>
          <w:rFonts w:ascii="Bliss 2 Light" w:hAnsi="Bliss 2 Light"/>
          <w:b/>
          <w:bCs/>
          <w:sz w:val="24"/>
          <w:szCs w:val="24"/>
        </w:rPr>
        <w:t>PCN</w:t>
      </w:r>
      <w:r w:rsidRPr="005252C9">
        <w:rPr>
          <w:rFonts w:ascii="Bliss 2 Light" w:hAnsi="Bliss 2 Light"/>
          <w:sz w:val="24"/>
          <w:szCs w:val="24"/>
        </w:rPr>
        <w:t>:</w:t>
      </w:r>
      <w:r>
        <w:rPr>
          <w:rFonts w:ascii="Bliss 2 Light" w:hAnsi="Bliss 2 Light"/>
          <w:sz w:val="24"/>
          <w:szCs w:val="24"/>
        </w:rPr>
        <w:t xml:space="preserve">  appointments delivered by ARRS staff or under the scope of the PCN DES, such as Care Home ‘</w:t>
      </w:r>
      <w:proofErr w:type="gramStart"/>
      <w:r>
        <w:rPr>
          <w:rFonts w:ascii="Bliss 2 Light" w:hAnsi="Bliss 2 Light"/>
          <w:sz w:val="24"/>
          <w:szCs w:val="24"/>
        </w:rPr>
        <w:t>rounds’</w:t>
      </w:r>
      <w:proofErr w:type="gramEnd"/>
      <w:r>
        <w:rPr>
          <w:rFonts w:ascii="Bliss 2 Light" w:hAnsi="Bliss 2 Light"/>
          <w:sz w:val="24"/>
          <w:szCs w:val="24"/>
        </w:rPr>
        <w:t xml:space="preserve"> or structured Medication Reviews, except for,</w:t>
      </w:r>
    </w:p>
    <w:p w14:paraId="245ABAC7" w14:textId="77777777" w:rsidR="00477EDA" w:rsidRDefault="00477EDA" w:rsidP="00477EDA">
      <w:pPr>
        <w:pStyle w:val="ListParagraph"/>
        <w:numPr>
          <w:ilvl w:val="0"/>
          <w:numId w:val="2"/>
        </w:numPr>
        <w:spacing w:after="0" w:line="240" w:lineRule="auto"/>
        <w:rPr>
          <w:rFonts w:ascii="Bliss 2 Light" w:hAnsi="Bliss 2 Light"/>
          <w:sz w:val="24"/>
          <w:szCs w:val="24"/>
        </w:rPr>
      </w:pPr>
      <w:r>
        <w:rPr>
          <w:rFonts w:ascii="Bliss 2 Light" w:hAnsi="Bliss 2 Light"/>
          <w:b/>
          <w:bCs/>
          <w:sz w:val="24"/>
          <w:szCs w:val="24"/>
        </w:rPr>
        <w:t>Extended Access</w:t>
      </w:r>
      <w:r w:rsidRPr="005252C9">
        <w:rPr>
          <w:rFonts w:ascii="Bliss 2 Light" w:hAnsi="Bliss 2 Light"/>
          <w:sz w:val="24"/>
          <w:szCs w:val="24"/>
        </w:rPr>
        <w:t>:</w:t>
      </w:r>
      <w:r>
        <w:rPr>
          <w:rFonts w:ascii="Bliss 2 Light" w:hAnsi="Bliss 2 Light"/>
          <w:sz w:val="24"/>
          <w:szCs w:val="24"/>
        </w:rPr>
        <w:t xml:space="preserve">  such as Extended Hours appointments</w:t>
      </w:r>
    </w:p>
    <w:p w14:paraId="47BC312B" w14:textId="77777777" w:rsidR="00477EDA" w:rsidRDefault="00477EDA" w:rsidP="00477EDA">
      <w:pPr>
        <w:pStyle w:val="ListParagraph"/>
        <w:numPr>
          <w:ilvl w:val="0"/>
          <w:numId w:val="2"/>
        </w:numPr>
        <w:spacing w:after="0" w:line="240" w:lineRule="auto"/>
        <w:rPr>
          <w:rFonts w:ascii="Bliss 2 Light" w:hAnsi="Bliss 2 Light"/>
          <w:sz w:val="24"/>
          <w:szCs w:val="24"/>
        </w:rPr>
      </w:pPr>
      <w:r>
        <w:rPr>
          <w:rFonts w:ascii="Bliss 2 Light" w:hAnsi="Bliss 2 Light"/>
          <w:b/>
          <w:bCs/>
          <w:sz w:val="24"/>
          <w:szCs w:val="24"/>
        </w:rPr>
        <w:t>Other</w:t>
      </w:r>
      <w:r w:rsidRPr="005252C9">
        <w:rPr>
          <w:rFonts w:ascii="Bliss 2 Light" w:hAnsi="Bliss 2 Light"/>
          <w:sz w:val="24"/>
          <w:szCs w:val="24"/>
        </w:rPr>
        <w:t>:</w:t>
      </w:r>
      <w:r>
        <w:rPr>
          <w:rFonts w:ascii="Bliss 2 Light" w:hAnsi="Bliss 2 Light"/>
          <w:sz w:val="24"/>
          <w:szCs w:val="24"/>
        </w:rPr>
        <w:t xml:space="preserve"> appointments delivered in the practice by another provider, if recorded in the practice appointment ‘book’</w:t>
      </w:r>
    </w:p>
    <w:p w14:paraId="19B72666" w14:textId="77777777" w:rsidR="00477EDA" w:rsidRDefault="00477EDA" w:rsidP="00477EDA">
      <w:pPr>
        <w:spacing w:after="0" w:line="240" w:lineRule="auto"/>
        <w:rPr>
          <w:rFonts w:ascii="Bliss 2 Light" w:hAnsi="Bliss 2 Light"/>
          <w:sz w:val="24"/>
          <w:szCs w:val="24"/>
        </w:rPr>
      </w:pPr>
    </w:p>
    <w:p w14:paraId="2248E07D" w14:textId="77777777" w:rsidR="00477EDA" w:rsidRDefault="00477EDA" w:rsidP="00477EDA">
      <w:pPr>
        <w:spacing w:after="0" w:line="240" w:lineRule="auto"/>
        <w:rPr>
          <w:rFonts w:ascii="Bliss 2 Light" w:hAnsi="Bliss 2 Light"/>
          <w:sz w:val="24"/>
          <w:szCs w:val="24"/>
        </w:rPr>
      </w:pPr>
      <w:r>
        <w:rPr>
          <w:rFonts w:ascii="Bliss 2 Light" w:hAnsi="Bliss 2 Light"/>
          <w:sz w:val="24"/>
          <w:szCs w:val="24"/>
        </w:rPr>
        <w:t xml:space="preserve">General Practice appointments are of three </w:t>
      </w:r>
      <w:proofErr w:type="gramStart"/>
      <w:r>
        <w:rPr>
          <w:rFonts w:ascii="Bliss 2 Light" w:hAnsi="Bliss 2 Light"/>
          <w:sz w:val="24"/>
          <w:szCs w:val="24"/>
        </w:rPr>
        <w:t>sorts:-</w:t>
      </w:r>
      <w:proofErr w:type="gramEnd"/>
    </w:p>
    <w:p w14:paraId="60D8CF2F" w14:textId="77777777" w:rsidR="00477EDA" w:rsidRDefault="00477EDA" w:rsidP="00477EDA">
      <w:pPr>
        <w:spacing w:after="0" w:line="240" w:lineRule="auto"/>
        <w:rPr>
          <w:rFonts w:ascii="Bliss 2 Light" w:hAnsi="Bliss 2 Light"/>
          <w:sz w:val="24"/>
          <w:szCs w:val="24"/>
        </w:rPr>
      </w:pPr>
    </w:p>
    <w:p w14:paraId="78912B9E" w14:textId="77777777" w:rsidR="00477EDA" w:rsidRDefault="00477EDA" w:rsidP="00477EDA">
      <w:pPr>
        <w:pStyle w:val="ListParagraph"/>
        <w:numPr>
          <w:ilvl w:val="0"/>
          <w:numId w:val="3"/>
        </w:numPr>
        <w:spacing w:after="0" w:line="240" w:lineRule="auto"/>
        <w:rPr>
          <w:rFonts w:ascii="Bliss 2 Light" w:hAnsi="Bliss 2 Light"/>
          <w:sz w:val="24"/>
          <w:szCs w:val="24"/>
        </w:rPr>
      </w:pPr>
      <w:r>
        <w:rPr>
          <w:rFonts w:ascii="Bliss 2 Light" w:hAnsi="Bliss 2 Light"/>
          <w:sz w:val="24"/>
          <w:szCs w:val="24"/>
        </w:rPr>
        <w:t xml:space="preserve">Care related </w:t>
      </w:r>
      <w:proofErr w:type="gramStart"/>
      <w:r>
        <w:rPr>
          <w:rFonts w:ascii="Bliss 2 Light" w:hAnsi="Bliss 2 Light"/>
          <w:sz w:val="24"/>
          <w:szCs w:val="24"/>
        </w:rPr>
        <w:t>encounter</w:t>
      </w:r>
      <w:proofErr w:type="gramEnd"/>
    </w:p>
    <w:p w14:paraId="74433BAA" w14:textId="77777777" w:rsidR="00477EDA" w:rsidRDefault="00477EDA" w:rsidP="00477EDA">
      <w:pPr>
        <w:pStyle w:val="ListParagraph"/>
        <w:numPr>
          <w:ilvl w:val="0"/>
          <w:numId w:val="3"/>
        </w:numPr>
        <w:spacing w:after="0" w:line="240" w:lineRule="auto"/>
        <w:rPr>
          <w:rFonts w:ascii="Bliss 2 Light" w:hAnsi="Bliss 2 Light"/>
          <w:sz w:val="24"/>
          <w:szCs w:val="24"/>
        </w:rPr>
      </w:pPr>
      <w:r>
        <w:rPr>
          <w:rFonts w:ascii="Bliss 2 Light" w:hAnsi="Bliss 2 Light"/>
          <w:sz w:val="24"/>
          <w:szCs w:val="24"/>
        </w:rPr>
        <w:t xml:space="preserve">Care related </w:t>
      </w:r>
      <w:proofErr w:type="gramStart"/>
      <w:r>
        <w:rPr>
          <w:rFonts w:ascii="Bliss 2 Light" w:hAnsi="Bliss 2 Light"/>
          <w:sz w:val="24"/>
          <w:szCs w:val="24"/>
        </w:rPr>
        <w:t>activities</w:t>
      </w:r>
      <w:proofErr w:type="gramEnd"/>
    </w:p>
    <w:p w14:paraId="5254DEEB" w14:textId="77777777" w:rsidR="00477EDA" w:rsidRDefault="00477EDA" w:rsidP="00477EDA">
      <w:pPr>
        <w:pStyle w:val="ListParagraph"/>
        <w:numPr>
          <w:ilvl w:val="0"/>
          <w:numId w:val="3"/>
        </w:numPr>
        <w:spacing w:after="0" w:line="240" w:lineRule="auto"/>
        <w:rPr>
          <w:rFonts w:ascii="Bliss 2 Light" w:hAnsi="Bliss 2 Light"/>
          <w:sz w:val="24"/>
          <w:szCs w:val="24"/>
        </w:rPr>
      </w:pPr>
      <w:r>
        <w:rPr>
          <w:rFonts w:ascii="Bliss 2 Light" w:hAnsi="Bliss 2 Light"/>
          <w:sz w:val="24"/>
          <w:szCs w:val="24"/>
        </w:rPr>
        <w:t>Administrative and practice staff activities (however, practices are not expected to use their appointment ‘book’ to record these, some practices however do so)</w:t>
      </w:r>
    </w:p>
    <w:p w14:paraId="1CF8C872" w14:textId="77777777" w:rsidR="00477EDA" w:rsidRDefault="00477EDA" w:rsidP="00477EDA">
      <w:pPr>
        <w:spacing w:after="0" w:line="240" w:lineRule="auto"/>
        <w:rPr>
          <w:rFonts w:ascii="Bliss 2 Light" w:hAnsi="Bliss 2 Light"/>
          <w:sz w:val="24"/>
          <w:szCs w:val="24"/>
        </w:rPr>
      </w:pPr>
    </w:p>
    <w:p w14:paraId="0F2E868C" w14:textId="77777777" w:rsidR="00477EDA" w:rsidRDefault="00477EDA" w:rsidP="00477EDA">
      <w:pPr>
        <w:spacing w:after="0" w:line="240" w:lineRule="auto"/>
        <w:rPr>
          <w:rFonts w:ascii="Bliss 2 Light" w:hAnsi="Bliss 2 Light"/>
          <w:sz w:val="24"/>
          <w:szCs w:val="24"/>
        </w:rPr>
      </w:pPr>
      <w:r>
        <w:rPr>
          <w:rFonts w:ascii="Bliss 2 Light" w:hAnsi="Bliss 2 Light"/>
          <w:sz w:val="24"/>
          <w:szCs w:val="24"/>
        </w:rPr>
        <w:t xml:space="preserve">The guidance noted above gives multiple examples of the different types of activity occurring in General Practice as examples to aid categorisation; this is likely to be helpful for practice staff to understand appointment types, noting </w:t>
      </w:r>
      <w:proofErr w:type="gramStart"/>
      <w:r>
        <w:rPr>
          <w:rFonts w:ascii="Bliss 2 Light" w:hAnsi="Bliss 2 Light"/>
          <w:sz w:val="24"/>
          <w:szCs w:val="24"/>
        </w:rPr>
        <w:t>the majority of</w:t>
      </w:r>
      <w:proofErr w:type="gramEnd"/>
      <w:r>
        <w:rPr>
          <w:rFonts w:ascii="Bliss 2 Light" w:hAnsi="Bliss 2 Light"/>
          <w:sz w:val="24"/>
          <w:szCs w:val="24"/>
        </w:rPr>
        <w:t xml:space="preserve"> appointments will be General Practice care-related encounters.</w:t>
      </w:r>
    </w:p>
    <w:p w14:paraId="06EC6721" w14:textId="77777777" w:rsidR="00477EDA" w:rsidRDefault="00477EDA" w:rsidP="00477EDA">
      <w:pPr>
        <w:spacing w:after="0" w:line="240" w:lineRule="auto"/>
        <w:rPr>
          <w:rFonts w:ascii="Bliss 2 Light" w:hAnsi="Bliss 2 Light"/>
          <w:sz w:val="24"/>
          <w:szCs w:val="24"/>
        </w:rPr>
      </w:pPr>
    </w:p>
    <w:p w14:paraId="363D0E4B" w14:textId="77777777" w:rsidR="00477EDA" w:rsidRDefault="00477EDA" w:rsidP="00477EDA">
      <w:pPr>
        <w:spacing w:after="0" w:line="240" w:lineRule="auto"/>
        <w:rPr>
          <w:rFonts w:ascii="Bliss 2 Light" w:hAnsi="Bliss 2 Light"/>
          <w:sz w:val="24"/>
          <w:szCs w:val="24"/>
        </w:rPr>
      </w:pPr>
      <w:r>
        <w:rPr>
          <w:rFonts w:ascii="Bliss 2 Light" w:hAnsi="Bliss 2 Light"/>
          <w:sz w:val="24"/>
          <w:szCs w:val="24"/>
        </w:rPr>
        <w:t xml:space="preserve">I hope this background is helpful; please contact the LMC Office (Sarah Parsons: Associate Director for Practice Manager Liaison </w:t>
      </w:r>
      <w:hyperlink r:id="rId9" w:history="1">
        <w:r w:rsidRPr="00A61F7F">
          <w:rPr>
            <w:rStyle w:val="Hyperlink"/>
            <w:rFonts w:ascii="Bliss 2 Light" w:hAnsi="Bliss 2 Light"/>
            <w:sz w:val="24"/>
            <w:szCs w:val="24"/>
          </w:rPr>
          <w:t>sarah.parsons@sslmcs.co.uk</w:t>
        </w:r>
      </w:hyperlink>
      <w:r>
        <w:rPr>
          <w:rFonts w:ascii="Bliss 2 Light" w:hAnsi="Bliss 2 Light"/>
          <w:sz w:val="24"/>
          <w:szCs w:val="24"/>
        </w:rPr>
        <w:t xml:space="preserve"> ) with any queries not included in the guidance.</w:t>
      </w:r>
    </w:p>
    <w:p w14:paraId="5F5A1AA7" w14:textId="77777777" w:rsidR="00477EDA" w:rsidRDefault="00477EDA" w:rsidP="00477EDA">
      <w:pPr>
        <w:spacing w:after="0" w:line="240" w:lineRule="auto"/>
        <w:rPr>
          <w:rFonts w:ascii="Bliss 2 Light" w:hAnsi="Bliss 2 Light"/>
          <w:sz w:val="24"/>
          <w:szCs w:val="24"/>
        </w:rPr>
      </w:pPr>
    </w:p>
    <w:p w14:paraId="1EBD567B" w14:textId="77777777" w:rsidR="00477EDA" w:rsidRDefault="00477EDA" w:rsidP="00477EDA">
      <w:pPr>
        <w:spacing w:after="0" w:line="240" w:lineRule="auto"/>
        <w:rPr>
          <w:rFonts w:ascii="Bliss 2 Light" w:hAnsi="Bliss 2 Light"/>
          <w:sz w:val="24"/>
          <w:szCs w:val="24"/>
        </w:rPr>
      </w:pPr>
      <w:r>
        <w:rPr>
          <w:rFonts w:ascii="Bliss 2 Light" w:hAnsi="Bliss 2 Light"/>
          <w:sz w:val="24"/>
          <w:szCs w:val="24"/>
        </w:rPr>
        <w:t>With best wishes</w:t>
      </w:r>
    </w:p>
    <w:p w14:paraId="60AB700B" w14:textId="77777777" w:rsidR="00477EDA" w:rsidRDefault="00477EDA" w:rsidP="00477EDA">
      <w:pPr>
        <w:spacing w:after="0" w:line="240" w:lineRule="auto"/>
        <w:rPr>
          <w:rFonts w:ascii="Bliss 2 Light" w:hAnsi="Bliss 2 Light"/>
          <w:sz w:val="24"/>
          <w:szCs w:val="24"/>
        </w:rPr>
      </w:pPr>
    </w:p>
    <w:p w14:paraId="2BF63B27" w14:textId="77777777" w:rsidR="00477EDA" w:rsidRDefault="00477EDA" w:rsidP="00477EDA">
      <w:pPr>
        <w:spacing w:after="0" w:line="240" w:lineRule="auto"/>
        <w:rPr>
          <w:rFonts w:ascii="Bliss 2 Light" w:hAnsi="Bliss 2 Light"/>
          <w:sz w:val="24"/>
          <w:szCs w:val="24"/>
        </w:rPr>
      </w:pPr>
    </w:p>
    <w:p w14:paraId="204802E3" w14:textId="77777777" w:rsidR="00477EDA" w:rsidRDefault="00477EDA" w:rsidP="00477EDA">
      <w:pPr>
        <w:spacing w:after="0" w:line="240" w:lineRule="auto"/>
        <w:rPr>
          <w:rFonts w:ascii="Bliss 2 Light" w:hAnsi="Bliss 2 Light"/>
          <w:sz w:val="24"/>
          <w:szCs w:val="24"/>
        </w:rPr>
      </w:pPr>
      <w:r w:rsidRPr="001E32C1">
        <w:rPr>
          <w:noProof/>
          <w:lang w:eastAsia="en-GB"/>
        </w:rPr>
        <w:drawing>
          <wp:inline distT="0" distB="0" distL="0" distR="0" wp14:anchorId="65A1399E" wp14:editId="752C4A52">
            <wp:extent cx="1645920" cy="1106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9646" cy="1115395"/>
                    </a:xfrm>
                    <a:prstGeom prst="rect">
                      <a:avLst/>
                    </a:prstGeom>
                    <a:noFill/>
                    <a:ln>
                      <a:noFill/>
                    </a:ln>
                  </pic:spPr>
                </pic:pic>
              </a:graphicData>
            </a:graphic>
          </wp:inline>
        </w:drawing>
      </w:r>
    </w:p>
    <w:p w14:paraId="05A38F64" w14:textId="77777777" w:rsidR="00477EDA" w:rsidRDefault="00477EDA" w:rsidP="00477EDA">
      <w:pPr>
        <w:spacing w:after="0" w:line="240" w:lineRule="auto"/>
        <w:rPr>
          <w:rFonts w:ascii="Bliss 2 Light" w:hAnsi="Bliss 2 Light"/>
          <w:sz w:val="24"/>
          <w:szCs w:val="24"/>
        </w:rPr>
      </w:pPr>
    </w:p>
    <w:p w14:paraId="6EC0A965" w14:textId="77777777" w:rsidR="00477EDA" w:rsidRDefault="00477EDA" w:rsidP="00477EDA">
      <w:pPr>
        <w:spacing w:after="0" w:line="240" w:lineRule="auto"/>
        <w:rPr>
          <w:rFonts w:ascii="Bliss 2 Light" w:hAnsi="Bliss 2 Light"/>
          <w:sz w:val="24"/>
          <w:szCs w:val="24"/>
        </w:rPr>
      </w:pPr>
      <w:r>
        <w:rPr>
          <w:rFonts w:ascii="Bliss 2 Light" w:hAnsi="Bliss 2 Light"/>
          <w:sz w:val="24"/>
          <w:szCs w:val="24"/>
        </w:rPr>
        <w:t>Dr Julius Parker</w:t>
      </w:r>
    </w:p>
    <w:p w14:paraId="702F7F20" w14:textId="77777777" w:rsidR="00477EDA" w:rsidRDefault="00477EDA" w:rsidP="00477EDA">
      <w:pPr>
        <w:spacing w:after="0" w:line="240" w:lineRule="auto"/>
        <w:rPr>
          <w:rFonts w:ascii="Bliss 2 Light" w:hAnsi="Bliss 2 Light"/>
          <w:b/>
          <w:bCs/>
          <w:sz w:val="24"/>
          <w:szCs w:val="24"/>
        </w:rPr>
      </w:pPr>
      <w:r>
        <w:rPr>
          <w:rFonts w:ascii="Bliss 2 Light" w:hAnsi="Bliss 2 Light"/>
          <w:b/>
          <w:bCs/>
          <w:sz w:val="24"/>
          <w:szCs w:val="24"/>
        </w:rPr>
        <w:t>Chief Executive</w:t>
      </w:r>
    </w:p>
    <w:p w14:paraId="692CDD24" w14:textId="77777777" w:rsidR="00477EDA" w:rsidRDefault="00477EDA" w:rsidP="00477EDA">
      <w:pPr>
        <w:spacing w:after="0" w:line="240" w:lineRule="auto"/>
        <w:rPr>
          <w:rFonts w:ascii="Bliss 2 Light" w:hAnsi="Bliss 2 Light"/>
          <w:b/>
          <w:bCs/>
          <w:sz w:val="24"/>
          <w:szCs w:val="24"/>
        </w:rPr>
      </w:pPr>
    </w:p>
    <w:p w14:paraId="792CAB48" w14:textId="77777777" w:rsidR="00477EDA" w:rsidRDefault="00477EDA" w:rsidP="00477EDA">
      <w:pPr>
        <w:spacing w:after="0" w:line="240" w:lineRule="auto"/>
        <w:rPr>
          <w:rFonts w:ascii="Bliss 2 Light" w:hAnsi="Bliss 2 Light"/>
          <w:b/>
          <w:bCs/>
          <w:sz w:val="24"/>
          <w:szCs w:val="24"/>
        </w:rPr>
      </w:pPr>
    </w:p>
    <w:p w14:paraId="16BC3234" w14:textId="77777777" w:rsidR="00477EDA" w:rsidRDefault="00477EDA" w:rsidP="00477EDA">
      <w:pPr>
        <w:spacing w:after="0" w:line="240" w:lineRule="auto"/>
        <w:rPr>
          <w:rFonts w:ascii="Bliss 2 Light" w:hAnsi="Bliss 2 Light"/>
          <w:b/>
          <w:bCs/>
          <w:sz w:val="24"/>
          <w:szCs w:val="24"/>
        </w:rPr>
      </w:pPr>
      <w:r w:rsidRPr="00862616">
        <w:rPr>
          <w:rFonts w:ascii="Bliss 2 Light" w:hAnsi="Bliss 2 Light"/>
          <w:b/>
          <w:bCs/>
          <w:sz w:val="24"/>
          <w:szCs w:val="24"/>
        </w:rPr>
        <w:t>Appendix 1</w:t>
      </w:r>
    </w:p>
    <w:p w14:paraId="4CDEB81A" w14:textId="77777777" w:rsidR="00477EDA" w:rsidRDefault="00477EDA" w:rsidP="00477EDA">
      <w:pPr>
        <w:spacing w:after="0" w:line="240" w:lineRule="auto"/>
        <w:rPr>
          <w:rFonts w:ascii="Bliss 2 Light" w:hAnsi="Bliss 2 Light"/>
          <w:b/>
          <w:bCs/>
          <w:sz w:val="24"/>
          <w:szCs w:val="24"/>
        </w:rPr>
      </w:pPr>
    </w:p>
    <w:p w14:paraId="174994AA" w14:textId="77777777" w:rsidR="00477EDA" w:rsidRDefault="00477EDA" w:rsidP="00477EDA">
      <w:pPr>
        <w:shd w:val="clear" w:color="auto" w:fill="FFFFFF"/>
        <w:spacing w:after="120" w:line="288" w:lineRule="atLeast"/>
        <w:rPr>
          <w:lang w:eastAsia="en-GB"/>
        </w:rPr>
      </w:pPr>
      <w:r>
        <w:rPr>
          <w:rFonts w:ascii="Arial" w:hAnsi="Arial" w:cs="Arial"/>
          <w:b/>
          <w:bCs/>
          <w:color w:val="000000"/>
          <w:lang w:eastAsia="en-GB"/>
        </w:rPr>
        <w:t xml:space="preserve">Collection of data relating to appointments in general </w:t>
      </w:r>
      <w:proofErr w:type="gramStart"/>
      <w:r>
        <w:rPr>
          <w:rFonts w:ascii="Arial" w:hAnsi="Arial" w:cs="Arial"/>
          <w:b/>
          <w:bCs/>
          <w:color w:val="000000"/>
          <w:lang w:eastAsia="en-GB"/>
        </w:rPr>
        <w:t>practice</w:t>
      </w:r>
      <w:proofErr w:type="gramEnd"/>
    </w:p>
    <w:p w14:paraId="7CD901B7" w14:textId="77777777" w:rsidR="00477EDA" w:rsidRDefault="00477EDA" w:rsidP="00477EDA">
      <w:pPr>
        <w:shd w:val="clear" w:color="auto" w:fill="FFFFFF"/>
        <w:spacing w:after="120" w:line="360" w:lineRule="atLeast"/>
        <w:jc w:val="both"/>
        <w:rPr>
          <w:lang w:eastAsia="en-GB"/>
        </w:rPr>
      </w:pPr>
      <w:r>
        <w:rPr>
          <w:rFonts w:ascii="Arial" w:hAnsi="Arial" w:cs="Arial"/>
          <w:b/>
          <w:bCs/>
          <w:color w:val="494949"/>
          <w:lang w:eastAsia="en-GB"/>
        </w:rPr>
        <w:t>74H.</w:t>
      </w:r>
      <w:r>
        <w:rPr>
          <w:rFonts w:ascii="Arial" w:hAnsi="Arial" w:cs="Arial"/>
          <w:color w:val="494949"/>
          <w:lang w:eastAsia="en-GB"/>
        </w:rPr>
        <w:t>—(1) A contractor must participate in the collection of anonymised data relating to appointments for its registered patients (“practice appointments data”) in accordance with the “GP Appointments Data Collection in Support of Winter Pressures”(</w:t>
      </w:r>
      <w:hyperlink r:id="rId11" w:anchor="f00009" w:tooltip="Go to footnote 2" w:history="1">
        <w:r>
          <w:rPr>
            <w:rStyle w:val="Hyperlink"/>
            <w:rFonts w:ascii="Arial" w:hAnsi="Arial" w:cs="Arial"/>
            <w:b/>
            <w:bCs/>
            <w:color w:val="2D7CA4"/>
            <w:lang w:eastAsia="en-GB"/>
          </w:rPr>
          <w:t>2</w:t>
        </w:r>
      </w:hyperlink>
      <w:r>
        <w:rPr>
          <w:rFonts w:ascii="Arial" w:hAnsi="Arial" w:cs="Arial"/>
          <w:color w:val="494949"/>
          <w:lang w:eastAsia="en-GB"/>
        </w:rPr>
        <w:t>) referred to in the Health and Social Care Information Centre (Establishment of Information Systems for NHS Services: General Practice Appointments Data Collection in Support of Winter Pressures) Directions 2017(</w:t>
      </w:r>
      <w:hyperlink r:id="rId12" w:anchor="f00010" w:tooltip="Go to footnote 3" w:history="1">
        <w:r>
          <w:rPr>
            <w:rStyle w:val="Hyperlink"/>
            <w:rFonts w:ascii="Arial" w:hAnsi="Arial" w:cs="Arial"/>
            <w:b/>
            <w:bCs/>
            <w:color w:val="2D7CA4"/>
            <w:lang w:eastAsia="en-GB"/>
          </w:rPr>
          <w:t>3</w:t>
        </w:r>
      </w:hyperlink>
      <w:r>
        <w:rPr>
          <w:rFonts w:ascii="Arial" w:hAnsi="Arial" w:cs="Arial"/>
          <w:color w:val="494949"/>
          <w:lang w:eastAsia="en-GB"/>
        </w:rPr>
        <w:t>).</w:t>
      </w:r>
    </w:p>
    <w:p w14:paraId="2C23C005" w14:textId="77777777" w:rsidR="00477EDA" w:rsidRDefault="00477EDA" w:rsidP="00477EDA">
      <w:pPr>
        <w:shd w:val="clear" w:color="auto" w:fill="FFFFFF"/>
        <w:spacing w:after="120" w:line="360" w:lineRule="atLeast"/>
        <w:jc w:val="both"/>
        <w:rPr>
          <w:lang w:eastAsia="en-GB"/>
        </w:rPr>
      </w:pPr>
      <w:r>
        <w:rPr>
          <w:rFonts w:ascii="Arial" w:hAnsi="Arial" w:cs="Arial"/>
          <w:color w:val="494949"/>
          <w:lang w:eastAsia="en-GB"/>
        </w:rPr>
        <w:t>(2) The contractor must ensure that all practice appointments data relating to the provision of primary medical services under its contract is recorded within the appointment book in accordance with the guidance(</w:t>
      </w:r>
      <w:hyperlink r:id="rId13" w:anchor="f00011" w:tooltip="Go to footnote 4" w:history="1">
        <w:r>
          <w:rPr>
            <w:rStyle w:val="Hyperlink"/>
            <w:rFonts w:ascii="Arial" w:hAnsi="Arial" w:cs="Arial"/>
            <w:b/>
            <w:bCs/>
            <w:color w:val="2D7CA4"/>
            <w:lang w:eastAsia="en-GB"/>
          </w:rPr>
          <w:t>4</w:t>
        </w:r>
      </w:hyperlink>
      <w:r>
        <w:rPr>
          <w:rFonts w:ascii="Arial" w:hAnsi="Arial" w:cs="Arial"/>
          <w:color w:val="494949"/>
          <w:lang w:eastAsia="en-GB"/>
        </w:rPr>
        <w:t>).</w:t>
      </w:r>
    </w:p>
    <w:p w14:paraId="728A4114" w14:textId="77777777" w:rsidR="00477EDA" w:rsidRDefault="00477EDA" w:rsidP="00477EDA">
      <w:pPr>
        <w:shd w:val="clear" w:color="auto" w:fill="FFFFFF"/>
        <w:spacing w:after="120" w:line="360" w:lineRule="atLeast"/>
        <w:jc w:val="both"/>
        <w:rPr>
          <w:lang w:eastAsia="en-GB"/>
        </w:rPr>
      </w:pPr>
      <w:r>
        <w:rPr>
          <w:rFonts w:ascii="Arial" w:hAnsi="Arial" w:cs="Arial"/>
          <w:color w:val="494949"/>
          <w:lang w:eastAsia="en-GB"/>
        </w:rPr>
        <w:t>(3) The contractor must ensure that the practice appointments data is uploaded onto its computerised clinical systems and available for collection by the Health and Social Care Information Centre at such intervals during each financial year as notified to the contractor by the Centre.</w:t>
      </w:r>
    </w:p>
    <w:p w14:paraId="3CEF7E1F" w14:textId="77777777" w:rsidR="00477EDA" w:rsidRDefault="00477EDA" w:rsidP="00477EDA">
      <w:pPr>
        <w:spacing w:after="0" w:line="240" w:lineRule="auto"/>
        <w:rPr>
          <w:rFonts w:ascii="Arial" w:hAnsi="Arial" w:cs="Arial"/>
          <w:color w:val="494949"/>
          <w:lang w:eastAsia="en-GB"/>
        </w:rPr>
      </w:pPr>
    </w:p>
    <w:p w14:paraId="4AC64DCB" w14:textId="77777777" w:rsidR="00477EDA" w:rsidRDefault="00477EDA" w:rsidP="00477EDA">
      <w:pPr>
        <w:spacing w:after="120" w:line="360" w:lineRule="atLeast"/>
        <w:rPr>
          <w:rFonts w:ascii="Calibri" w:hAnsi="Calibri" w:cs="Calibri"/>
        </w:rPr>
      </w:pPr>
      <w:r>
        <w:rPr>
          <w:rFonts w:ascii="Arial" w:hAnsi="Arial" w:cs="Arial"/>
          <w:color w:val="494949"/>
          <w:lang w:eastAsia="en-GB"/>
        </w:rPr>
        <w:t xml:space="preserve">(4) For the purposes of this regulation, “appointment book” means a capability provided by the contractor’s computerised clinical systems and software supplier which supports the administration, scheduling, </w:t>
      </w:r>
      <w:proofErr w:type="gramStart"/>
      <w:r>
        <w:rPr>
          <w:rFonts w:ascii="Arial" w:hAnsi="Arial" w:cs="Arial"/>
          <w:color w:val="494949"/>
          <w:lang w:eastAsia="en-GB"/>
        </w:rPr>
        <w:t>resourcing</w:t>
      </w:r>
      <w:proofErr w:type="gramEnd"/>
      <w:r>
        <w:rPr>
          <w:rFonts w:ascii="Arial" w:hAnsi="Arial" w:cs="Arial"/>
          <w:color w:val="494949"/>
          <w:lang w:eastAsia="en-GB"/>
        </w:rPr>
        <w:t xml:space="preserve"> and reporting of appointments</w:t>
      </w:r>
    </w:p>
    <w:p w14:paraId="34A3391E" w14:textId="77777777" w:rsidR="00477EDA" w:rsidRPr="00862616" w:rsidRDefault="00477EDA" w:rsidP="00477EDA">
      <w:pPr>
        <w:spacing w:after="120" w:line="360" w:lineRule="atLeast"/>
        <w:rPr>
          <w:rFonts w:ascii="Bliss 2 Light" w:hAnsi="Bliss 2 Light"/>
          <w:b/>
          <w:bCs/>
          <w:sz w:val="24"/>
          <w:szCs w:val="24"/>
        </w:rPr>
      </w:pPr>
    </w:p>
    <w:p w14:paraId="74D2FB9A" w14:textId="77777777" w:rsidR="00477EDA" w:rsidRDefault="00477EDA" w:rsidP="00477EDA">
      <w:pPr>
        <w:spacing w:after="0" w:line="240" w:lineRule="auto"/>
        <w:rPr>
          <w:rFonts w:ascii="Bliss 2 Light" w:hAnsi="Bliss 2 Light"/>
          <w:sz w:val="24"/>
          <w:szCs w:val="24"/>
        </w:rPr>
      </w:pPr>
    </w:p>
    <w:p w14:paraId="5D0B3CA1" w14:textId="77777777" w:rsidR="00477EDA" w:rsidRPr="00862616" w:rsidRDefault="00477EDA" w:rsidP="00477EDA">
      <w:pPr>
        <w:spacing w:after="0" w:line="240" w:lineRule="auto"/>
        <w:rPr>
          <w:rFonts w:ascii="Bliss 2 Light" w:hAnsi="Bliss 2 Light"/>
          <w:sz w:val="24"/>
          <w:szCs w:val="24"/>
        </w:rPr>
      </w:pPr>
    </w:p>
    <w:p w14:paraId="1321C5BB" w14:textId="77777777" w:rsidR="00477EDA" w:rsidRDefault="00477EDA" w:rsidP="00477EDA">
      <w:pPr>
        <w:spacing w:after="0" w:line="240" w:lineRule="auto"/>
        <w:rPr>
          <w:rFonts w:ascii="Bliss 2 Light" w:hAnsi="Bliss 2 Light"/>
          <w:b/>
          <w:bCs/>
          <w:sz w:val="24"/>
          <w:szCs w:val="24"/>
        </w:rPr>
      </w:pPr>
    </w:p>
    <w:p w14:paraId="11AB573A" w14:textId="77777777" w:rsidR="00477EDA" w:rsidRDefault="00477EDA" w:rsidP="00477EDA">
      <w:pPr>
        <w:spacing w:after="0" w:line="240" w:lineRule="auto"/>
        <w:rPr>
          <w:rFonts w:ascii="Bliss 2 Light" w:hAnsi="Bliss 2 Light"/>
          <w:b/>
          <w:bCs/>
          <w:sz w:val="24"/>
          <w:szCs w:val="24"/>
        </w:rPr>
      </w:pPr>
    </w:p>
    <w:p w14:paraId="753DF9B3" w14:textId="77777777" w:rsidR="00477EDA" w:rsidRPr="00CD741F" w:rsidRDefault="00477EDA" w:rsidP="00477EDA">
      <w:pPr>
        <w:spacing w:after="0" w:line="240" w:lineRule="auto"/>
        <w:rPr>
          <w:rFonts w:ascii="Bliss 2 Light" w:hAnsi="Bliss 2 Light"/>
          <w:sz w:val="24"/>
          <w:szCs w:val="24"/>
        </w:rPr>
      </w:pPr>
    </w:p>
    <w:p w14:paraId="147CFB47" w14:textId="77777777" w:rsidR="00477EDA" w:rsidRDefault="00477EDA" w:rsidP="00E45794">
      <w:pPr>
        <w:jc w:val="right"/>
      </w:pPr>
    </w:p>
    <w:p w14:paraId="3E91C256" w14:textId="78D929AA" w:rsidR="000C27C0" w:rsidRDefault="000C27C0" w:rsidP="00CE61DA"/>
    <w:sectPr w:rsidR="000C27C0" w:rsidSect="000C27C0">
      <w:headerReference w:type="first" r:id="rId14"/>
      <w:footerReference w:type="first" r:id="rId15"/>
      <w:pgSz w:w="11906" w:h="16838"/>
      <w:pgMar w:top="1440" w:right="991" w:bottom="1440" w:left="851"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EF6DC" w14:textId="77777777" w:rsidR="00F5079C" w:rsidRDefault="00F5079C" w:rsidP="00D01AA4">
      <w:pPr>
        <w:spacing w:after="0" w:line="240" w:lineRule="auto"/>
      </w:pPr>
      <w:r>
        <w:separator/>
      </w:r>
    </w:p>
  </w:endnote>
  <w:endnote w:type="continuationSeparator" w:id="0">
    <w:p w14:paraId="553E8B59" w14:textId="77777777" w:rsidR="00F5079C" w:rsidRDefault="00F5079C" w:rsidP="00D01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liss 2 Light">
    <w:panose1 w:val="02000506030000020004"/>
    <w:charset w:val="00"/>
    <w:family w:val="modern"/>
    <w:notTrueType/>
    <w:pitch w:val="variable"/>
    <w:sig w:usb0="A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1559"/>
      <w:gridCol w:w="1863"/>
    </w:tblGrid>
    <w:tr w:rsidR="00D01AA4" w:rsidRPr="00D01AA4" w14:paraId="4591D33E" w14:textId="77777777" w:rsidTr="00CE61DA">
      <w:tc>
        <w:tcPr>
          <w:tcW w:w="7230" w:type="dxa"/>
        </w:tcPr>
        <w:p w14:paraId="405E5676" w14:textId="77777777" w:rsidR="00D01AA4" w:rsidRPr="00D01AA4" w:rsidRDefault="00D01AA4">
          <w:pPr>
            <w:pStyle w:val="Footer"/>
            <w:rPr>
              <w:color w:val="808080" w:themeColor="background1" w:themeShade="80"/>
              <w:sz w:val="18"/>
              <w:szCs w:val="18"/>
            </w:rPr>
          </w:pPr>
        </w:p>
      </w:tc>
      <w:tc>
        <w:tcPr>
          <w:tcW w:w="3422" w:type="dxa"/>
          <w:gridSpan w:val="2"/>
        </w:tcPr>
        <w:p w14:paraId="49E6F4C7" w14:textId="5DB69426"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Local Medical Committees for</w:t>
          </w:r>
        </w:p>
        <w:p w14:paraId="4F028693" w14:textId="77777777"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Croydon, Kingston &amp; Richmond, Surrey, East Sussex and West Sussex</w:t>
          </w:r>
        </w:p>
        <w:p w14:paraId="63DD8DB2" w14:textId="358F2170" w:rsidR="00D01AA4" w:rsidRPr="00D01AA4" w:rsidRDefault="00D01AA4">
          <w:pPr>
            <w:pStyle w:val="Footer"/>
            <w:rPr>
              <w:color w:val="808080" w:themeColor="background1" w:themeShade="80"/>
              <w:sz w:val="18"/>
              <w:szCs w:val="18"/>
            </w:rPr>
          </w:pPr>
        </w:p>
      </w:tc>
    </w:tr>
    <w:tr w:rsidR="00D01AA4" w:rsidRPr="00D01AA4" w14:paraId="707DC5E9" w14:textId="77777777" w:rsidTr="00CE61DA">
      <w:tc>
        <w:tcPr>
          <w:tcW w:w="7230" w:type="dxa"/>
        </w:tcPr>
        <w:p w14:paraId="58D08A79" w14:textId="77777777" w:rsidR="00D01AA4" w:rsidRPr="00D01AA4" w:rsidRDefault="00D01AA4">
          <w:pPr>
            <w:pStyle w:val="Footer"/>
            <w:rPr>
              <w:color w:val="808080" w:themeColor="background1" w:themeShade="80"/>
              <w:sz w:val="18"/>
              <w:szCs w:val="18"/>
            </w:rPr>
          </w:pPr>
        </w:p>
      </w:tc>
      <w:tc>
        <w:tcPr>
          <w:tcW w:w="1559" w:type="dxa"/>
        </w:tcPr>
        <w:p w14:paraId="0984560E" w14:textId="7E27D2D7"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The White House</w:t>
          </w:r>
        </w:p>
        <w:p w14:paraId="5C982935" w14:textId="77777777"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18 Church Road</w:t>
          </w:r>
        </w:p>
        <w:p w14:paraId="20E201DF" w14:textId="77777777"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Leatherhead</w:t>
          </w:r>
        </w:p>
        <w:p w14:paraId="125C9AC6" w14:textId="32627133"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Surrey KT22 8BB</w:t>
          </w:r>
        </w:p>
      </w:tc>
      <w:tc>
        <w:tcPr>
          <w:tcW w:w="1863" w:type="dxa"/>
        </w:tcPr>
        <w:p w14:paraId="23F01EEF" w14:textId="77777777" w:rsidR="00D01AA4" w:rsidRPr="00D01AA4" w:rsidRDefault="00D01AA4">
          <w:pPr>
            <w:pStyle w:val="Footer"/>
            <w:rPr>
              <w:color w:val="808080" w:themeColor="background1" w:themeShade="80"/>
              <w:sz w:val="18"/>
              <w:szCs w:val="18"/>
            </w:rPr>
          </w:pPr>
          <w:r w:rsidRPr="00D01AA4">
            <w:rPr>
              <w:b/>
              <w:bCs/>
              <w:color w:val="808080" w:themeColor="background1" w:themeShade="80"/>
              <w:sz w:val="18"/>
              <w:szCs w:val="18"/>
            </w:rPr>
            <w:t>T:</w:t>
          </w:r>
          <w:r w:rsidRPr="00D01AA4">
            <w:rPr>
              <w:color w:val="808080" w:themeColor="background1" w:themeShade="80"/>
              <w:sz w:val="18"/>
              <w:szCs w:val="18"/>
            </w:rPr>
            <w:t xml:space="preserve"> 01372 389270</w:t>
          </w:r>
        </w:p>
        <w:p w14:paraId="478AAED4" w14:textId="77777777" w:rsidR="00D01AA4" w:rsidRPr="00D01AA4" w:rsidRDefault="00D01AA4">
          <w:pPr>
            <w:pStyle w:val="Footer"/>
            <w:rPr>
              <w:color w:val="808080" w:themeColor="background1" w:themeShade="80"/>
              <w:sz w:val="18"/>
              <w:szCs w:val="18"/>
            </w:rPr>
          </w:pPr>
          <w:r w:rsidRPr="00D01AA4">
            <w:rPr>
              <w:b/>
              <w:bCs/>
              <w:color w:val="808080" w:themeColor="background1" w:themeShade="80"/>
              <w:sz w:val="18"/>
              <w:szCs w:val="18"/>
            </w:rPr>
            <w:t>F:</w:t>
          </w:r>
          <w:r w:rsidRPr="00D01AA4">
            <w:rPr>
              <w:color w:val="808080" w:themeColor="background1" w:themeShade="80"/>
              <w:sz w:val="18"/>
              <w:szCs w:val="18"/>
            </w:rPr>
            <w:t xml:space="preserve"> 01372 389271</w:t>
          </w:r>
        </w:p>
        <w:p w14:paraId="7BF5D2CB" w14:textId="77777777" w:rsidR="00D01AA4" w:rsidRPr="00D01AA4" w:rsidRDefault="00D01AA4">
          <w:pPr>
            <w:pStyle w:val="Footer"/>
            <w:rPr>
              <w:color w:val="808080" w:themeColor="background1" w:themeShade="80"/>
              <w:sz w:val="18"/>
              <w:szCs w:val="18"/>
            </w:rPr>
          </w:pPr>
        </w:p>
        <w:p w14:paraId="05AA474B" w14:textId="704A3071" w:rsidR="00D01AA4" w:rsidRPr="00D01AA4" w:rsidRDefault="00D01AA4">
          <w:pPr>
            <w:pStyle w:val="Footer"/>
            <w:rPr>
              <w:b/>
              <w:bCs/>
              <w:color w:val="808080" w:themeColor="background1" w:themeShade="80"/>
              <w:sz w:val="18"/>
              <w:szCs w:val="18"/>
            </w:rPr>
          </w:pPr>
          <w:r w:rsidRPr="00D01AA4">
            <w:rPr>
              <w:b/>
              <w:bCs/>
              <w:color w:val="808080" w:themeColor="background1" w:themeShade="80"/>
              <w:sz w:val="18"/>
              <w:szCs w:val="18"/>
            </w:rPr>
            <w:t>www.sslmcs.co.uk</w:t>
          </w:r>
        </w:p>
      </w:tc>
    </w:tr>
    <w:tr w:rsidR="00D01AA4" w:rsidRPr="00D01AA4" w14:paraId="14E8EC44" w14:textId="77777777" w:rsidTr="00CE61DA">
      <w:tc>
        <w:tcPr>
          <w:tcW w:w="7230" w:type="dxa"/>
        </w:tcPr>
        <w:p w14:paraId="134A2740" w14:textId="77777777" w:rsidR="00D01AA4" w:rsidRDefault="00D01AA4">
          <w:pPr>
            <w:pStyle w:val="Footer"/>
            <w:rPr>
              <w:color w:val="808080" w:themeColor="background1" w:themeShade="80"/>
              <w:sz w:val="18"/>
              <w:szCs w:val="18"/>
            </w:rPr>
          </w:pPr>
        </w:p>
        <w:p w14:paraId="39AB45FC" w14:textId="33E714C0" w:rsidR="00D01AA4" w:rsidRPr="00D01AA4" w:rsidRDefault="00D01AA4">
          <w:pPr>
            <w:pStyle w:val="Footer"/>
            <w:rPr>
              <w:color w:val="009999"/>
              <w:sz w:val="18"/>
              <w:szCs w:val="18"/>
              <w14:textFill>
                <w14:solidFill>
                  <w14:srgbClr w14:val="009999">
                    <w14:lumMod w14:val="50000"/>
                  </w14:srgbClr>
                </w14:solidFill>
              </w14:textFill>
            </w:rPr>
          </w:pPr>
          <w:r w:rsidRPr="00D01AA4">
            <w:rPr>
              <w:color w:val="009999"/>
              <w:sz w:val="18"/>
              <w:szCs w:val="18"/>
              <w14:textFill>
                <w14:solidFill>
                  <w14:srgbClr w14:val="009999">
                    <w14:lumMod w14:val="50000"/>
                  </w14:srgbClr>
                </w14:solidFill>
              </w14:textFill>
            </w:rPr>
            <w:t>Supporting and Representing all local NHS General Practitioners</w:t>
          </w:r>
        </w:p>
      </w:tc>
      <w:tc>
        <w:tcPr>
          <w:tcW w:w="3422" w:type="dxa"/>
          <w:gridSpan w:val="2"/>
        </w:tcPr>
        <w:p w14:paraId="2653D009" w14:textId="535D3446" w:rsidR="00D01AA4" w:rsidRPr="00D01AA4" w:rsidRDefault="00D01AA4">
          <w:pPr>
            <w:pStyle w:val="Footer"/>
            <w:rPr>
              <w:color w:val="808080" w:themeColor="background1" w:themeShade="80"/>
              <w:sz w:val="18"/>
              <w:szCs w:val="18"/>
            </w:rPr>
          </w:pPr>
        </w:p>
        <w:p w14:paraId="123EF926" w14:textId="0B0E3BC1" w:rsidR="00D01AA4" w:rsidRPr="00D01AA4" w:rsidRDefault="00D01AA4">
          <w:pPr>
            <w:pStyle w:val="Footer"/>
            <w:rPr>
              <w:b/>
              <w:bCs/>
              <w:color w:val="808080" w:themeColor="background1" w:themeShade="80"/>
              <w:sz w:val="18"/>
              <w:szCs w:val="18"/>
            </w:rPr>
          </w:pPr>
          <w:r w:rsidRPr="00D01AA4">
            <w:rPr>
              <w:b/>
              <w:bCs/>
              <w:color w:val="808080" w:themeColor="background1" w:themeShade="80"/>
              <w:sz w:val="18"/>
              <w:szCs w:val="18"/>
            </w:rPr>
            <w:t>Chief Executive: Dr Julius Parker</w:t>
          </w:r>
        </w:p>
      </w:tc>
    </w:tr>
  </w:tbl>
  <w:p w14:paraId="3BB4D368" w14:textId="77777777" w:rsidR="00D01AA4" w:rsidRDefault="00D01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1AA38" w14:textId="77777777" w:rsidR="00F5079C" w:rsidRDefault="00F5079C" w:rsidP="00D01AA4">
      <w:pPr>
        <w:spacing w:after="0" w:line="240" w:lineRule="auto"/>
      </w:pPr>
      <w:r>
        <w:separator/>
      </w:r>
    </w:p>
  </w:footnote>
  <w:footnote w:type="continuationSeparator" w:id="0">
    <w:p w14:paraId="32D2EE47" w14:textId="77777777" w:rsidR="00F5079C" w:rsidRDefault="00F5079C" w:rsidP="00D01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03E59" w14:textId="0083947D" w:rsidR="00D01AA4" w:rsidRDefault="00D01AA4">
    <w:pPr>
      <w:pStyle w:val="Header"/>
    </w:pPr>
    <w:r>
      <w:rPr>
        <w:noProof/>
        <w:lang w:eastAsia="en-GB"/>
      </w:rPr>
      <w:drawing>
        <wp:anchor distT="0" distB="0" distL="114300" distR="114300" simplePos="0" relativeHeight="251658240" behindDoc="1" locked="0" layoutInCell="1" allowOverlap="1" wp14:anchorId="52E41CDB" wp14:editId="75246ADB">
          <wp:simplePos x="0" y="0"/>
          <wp:positionH relativeFrom="column">
            <wp:posOffset>4114800</wp:posOffset>
          </wp:positionH>
          <wp:positionV relativeFrom="paragraph">
            <wp:posOffset>-116205</wp:posOffset>
          </wp:positionV>
          <wp:extent cx="2200275" cy="800100"/>
          <wp:effectExtent l="0" t="0" r="9525" b="0"/>
          <wp:wrapSquare wrapText="bothSides"/>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027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A1671"/>
    <w:multiLevelType w:val="hybridMultilevel"/>
    <w:tmpl w:val="4CE8D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87BA8"/>
    <w:multiLevelType w:val="hybridMultilevel"/>
    <w:tmpl w:val="5A7A7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8A22A3"/>
    <w:multiLevelType w:val="hybridMultilevel"/>
    <w:tmpl w:val="EA3A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AA4"/>
    <w:rsid w:val="000C27C0"/>
    <w:rsid w:val="00252D41"/>
    <w:rsid w:val="00363725"/>
    <w:rsid w:val="00365F37"/>
    <w:rsid w:val="0047759C"/>
    <w:rsid w:val="00477EDA"/>
    <w:rsid w:val="0085042B"/>
    <w:rsid w:val="00C74B62"/>
    <w:rsid w:val="00CB2D0A"/>
    <w:rsid w:val="00CE61DA"/>
    <w:rsid w:val="00D01AA4"/>
    <w:rsid w:val="00E45794"/>
    <w:rsid w:val="00F50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2C8A8"/>
  <w15:chartTrackingRefBased/>
  <w15:docId w15:val="{8BF55B56-3010-4BD3-A1E1-059A9489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E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A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AA4"/>
  </w:style>
  <w:style w:type="paragraph" w:styleId="Footer">
    <w:name w:val="footer"/>
    <w:basedOn w:val="Normal"/>
    <w:link w:val="FooterChar"/>
    <w:uiPriority w:val="99"/>
    <w:unhideWhenUsed/>
    <w:rsid w:val="00D01A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AA4"/>
  </w:style>
  <w:style w:type="table" w:styleId="TableGrid">
    <w:name w:val="Table Grid"/>
    <w:basedOn w:val="TableNormal"/>
    <w:uiPriority w:val="39"/>
    <w:rsid w:val="00D01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7EDA"/>
    <w:rPr>
      <w:color w:val="0563C1"/>
      <w:u w:val="single"/>
    </w:rPr>
  </w:style>
  <w:style w:type="paragraph" w:styleId="ListParagraph">
    <w:name w:val="List Paragraph"/>
    <w:basedOn w:val="Normal"/>
    <w:uiPriority w:val="34"/>
    <w:qFormat/>
    <w:rsid w:val="00477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wp-content/uploads/2020/08/gpad-guidance.pdf" TargetMode="External"/><Relationship Id="rId13" Type="http://schemas.openxmlformats.org/officeDocument/2006/relationships/hyperlink" Target="https://www.legislation.gov.uk/uksi/2020/911/schedule/1/paragraph/4/made" TargetMode="External"/><Relationship Id="rId3" Type="http://schemas.openxmlformats.org/officeDocument/2006/relationships/settings" Target="settings.xml"/><Relationship Id="rId7" Type="http://schemas.openxmlformats.org/officeDocument/2006/relationships/hyperlink" Target="https://www.england.nhs.uk/publication/gpad-appointment-categorisation-guidance-2021-22/" TargetMode="External"/><Relationship Id="rId12" Type="http://schemas.openxmlformats.org/officeDocument/2006/relationships/hyperlink" Target="https://www.legislation.gov.uk/uksi/2020/911/schedule/1/paragraph/4/ma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uksi/2020/911/schedule/1/paragraph/4/ma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sarah.parsons@sslmcs.co.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Parsons\Dropbox%20(SSLMCs)\Company%20Shared%20Folder\PM%20Liaison%20Officer\06.%20Practice%20Manager%20Guidance%20&amp;%20Useful%20Information\LM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LMC letterhead</Template>
  <TotalTime>1</TotalTime>
  <Pages>3</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Parsons</dc:creator>
  <cp:keywords/>
  <dc:description/>
  <cp:lastModifiedBy>Sandra Rodbourne</cp:lastModifiedBy>
  <cp:revision>2</cp:revision>
  <dcterms:created xsi:type="dcterms:W3CDTF">2021-04-13T10:59:00Z</dcterms:created>
  <dcterms:modified xsi:type="dcterms:W3CDTF">2021-04-13T10:59:00Z</dcterms:modified>
</cp:coreProperties>
</file>