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2B339" w14:textId="77777777" w:rsidR="009B3FAD" w:rsidRDefault="009B3FAD" w:rsidP="009B3FAD">
      <w:pPr>
        <w:pStyle w:val="ListParagraph"/>
        <w:spacing w:after="0" w:line="240" w:lineRule="auto"/>
        <w:rPr>
          <w:rFonts w:ascii="Bliss 2 Light" w:hAnsi="Bliss 2 Light"/>
          <w:b/>
          <w:bCs/>
          <w:sz w:val="24"/>
          <w:szCs w:val="24"/>
        </w:rPr>
      </w:pPr>
    </w:p>
    <w:p w14:paraId="41445C15" w14:textId="77777777" w:rsidR="009B3FAD" w:rsidRDefault="009B3FAD" w:rsidP="009B3FAD">
      <w:pPr>
        <w:spacing w:after="0" w:line="240" w:lineRule="auto"/>
        <w:rPr>
          <w:rFonts w:ascii="Bliss 2 Light" w:hAnsi="Bliss 2 Light"/>
          <w:b/>
          <w:bCs/>
          <w:sz w:val="24"/>
          <w:szCs w:val="24"/>
        </w:rPr>
      </w:pPr>
      <w:r>
        <w:rPr>
          <w:rFonts w:ascii="Bliss 2 Light" w:hAnsi="Bliss 2 Light"/>
          <w:b/>
          <w:bCs/>
          <w:sz w:val="24"/>
          <w:szCs w:val="24"/>
        </w:rPr>
        <w:t>To all practices Surrey and Sussex LMCs</w:t>
      </w:r>
    </w:p>
    <w:p w14:paraId="768D762E" w14:textId="77777777" w:rsidR="009B3FAD" w:rsidRDefault="009B3FAD" w:rsidP="009B3FAD">
      <w:pPr>
        <w:spacing w:after="0" w:line="240" w:lineRule="auto"/>
        <w:rPr>
          <w:rFonts w:ascii="Bliss 2 Light" w:hAnsi="Bliss 2 Light"/>
          <w:b/>
          <w:bCs/>
          <w:sz w:val="24"/>
          <w:szCs w:val="24"/>
        </w:rPr>
      </w:pPr>
    </w:p>
    <w:p w14:paraId="747F3722" w14:textId="77777777" w:rsidR="009B3FAD" w:rsidRDefault="009B3FAD" w:rsidP="009B3FAD">
      <w:pPr>
        <w:spacing w:after="0" w:line="240" w:lineRule="auto"/>
        <w:jc w:val="right"/>
        <w:rPr>
          <w:rFonts w:ascii="Bliss 2 Light" w:hAnsi="Bliss 2 Light"/>
          <w:sz w:val="24"/>
          <w:szCs w:val="24"/>
        </w:rPr>
      </w:pPr>
    </w:p>
    <w:p w14:paraId="2BFBB9C6" w14:textId="782A0E18" w:rsidR="009B3FAD" w:rsidRDefault="00425039" w:rsidP="009B3FAD">
      <w:pPr>
        <w:spacing w:after="0" w:line="240" w:lineRule="auto"/>
        <w:jc w:val="right"/>
        <w:rPr>
          <w:rFonts w:ascii="Bliss 2 Light" w:hAnsi="Bliss 2 Light"/>
          <w:sz w:val="24"/>
          <w:szCs w:val="24"/>
        </w:rPr>
      </w:pPr>
      <w:r>
        <w:rPr>
          <w:rFonts w:ascii="Bliss 2 Light" w:hAnsi="Bliss 2 Light"/>
          <w:sz w:val="24"/>
          <w:szCs w:val="24"/>
        </w:rPr>
        <w:t>19</w:t>
      </w:r>
      <w:r w:rsidRPr="00425039">
        <w:rPr>
          <w:rFonts w:ascii="Bliss 2 Light" w:hAnsi="Bliss 2 Light"/>
          <w:sz w:val="24"/>
          <w:szCs w:val="24"/>
          <w:vertAlign w:val="superscript"/>
        </w:rPr>
        <w:t>th</w:t>
      </w:r>
      <w:r>
        <w:rPr>
          <w:rFonts w:ascii="Bliss 2 Light" w:hAnsi="Bliss 2 Light"/>
          <w:sz w:val="24"/>
          <w:szCs w:val="24"/>
        </w:rPr>
        <w:t xml:space="preserve"> May</w:t>
      </w:r>
      <w:r w:rsidR="009B3FAD">
        <w:rPr>
          <w:rFonts w:ascii="Bliss 2 Light" w:hAnsi="Bliss 2 Light"/>
          <w:sz w:val="24"/>
          <w:szCs w:val="24"/>
        </w:rPr>
        <w:t xml:space="preserve"> 2021</w:t>
      </w:r>
    </w:p>
    <w:p w14:paraId="2E71C1D0" w14:textId="77777777" w:rsidR="009B3FAD" w:rsidRDefault="009B3FAD" w:rsidP="009B3FAD">
      <w:pPr>
        <w:spacing w:after="0" w:line="240" w:lineRule="auto"/>
        <w:rPr>
          <w:rFonts w:ascii="Bliss 2 Light" w:hAnsi="Bliss 2 Light"/>
          <w:sz w:val="24"/>
          <w:szCs w:val="24"/>
        </w:rPr>
      </w:pPr>
    </w:p>
    <w:p w14:paraId="5D250B52" w14:textId="77777777" w:rsidR="009B3FAD" w:rsidRDefault="009B3FAD" w:rsidP="009B3FAD">
      <w:pPr>
        <w:spacing w:after="0" w:line="240" w:lineRule="auto"/>
        <w:rPr>
          <w:rFonts w:ascii="Bliss 2 Light" w:hAnsi="Bliss 2 Light"/>
          <w:sz w:val="24"/>
          <w:szCs w:val="24"/>
        </w:rPr>
      </w:pPr>
      <w:r>
        <w:rPr>
          <w:rFonts w:ascii="Bliss 2 Light" w:hAnsi="Bliss 2 Light"/>
          <w:sz w:val="24"/>
          <w:szCs w:val="24"/>
        </w:rPr>
        <w:t>Dear Colleagues</w:t>
      </w:r>
    </w:p>
    <w:p w14:paraId="713042EB" w14:textId="77777777" w:rsidR="009B3FAD" w:rsidRDefault="009B3FAD" w:rsidP="009B3FAD">
      <w:pPr>
        <w:spacing w:after="0" w:line="240" w:lineRule="auto"/>
        <w:rPr>
          <w:rFonts w:ascii="Bliss 2 Light" w:hAnsi="Bliss 2 Light"/>
          <w:b/>
          <w:bCs/>
          <w:sz w:val="24"/>
          <w:szCs w:val="24"/>
        </w:rPr>
      </w:pPr>
    </w:p>
    <w:p w14:paraId="12D48D41" w14:textId="77777777" w:rsidR="002060F3" w:rsidRDefault="002060F3" w:rsidP="009B3FAD">
      <w:pPr>
        <w:spacing w:after="0" w:line="240" w:lineRule="auto"/>
        <w:rPr>
          <w:rFonts w:ascii="Bliss 2 Light" w:hAnsi="Bliss 2 Light"/>
          <w:b/>
          <w:bCs/>
          <w:sz w:val="24"/>
          <w:szCs w:val="24"/>
        </w:rPr>
      </w:pPr>
    </w:p>
    <w:p w14:paraId="61DBE13C" w14:textId="58857489" w:rsidR="009B3FAD" w:rsidRDefault="00425039" w:rsidP="009B3FAD">
      <w:pPr>
        <w:spacing w:after="0" w:line="240" w:lineRule="auto"/>
        <w:rPr>
          <w:rFonts w:ascii="Bliss 2 Light" w:hAnsi="Bliss 2 Light"/>
          <w:b/>
          <w:bCs/>
          <w:sz w:val="24"/>
          <w:szCs w:val="24"/>
        </w:rPr>
      </w:pPr>
      <w:r>
        <w:rPr>
          <w:rFonts w:ascii="Bliss 2 Light" w:hAnsi="Bliss 2 Light"/>
          <w:b/>
          <w:bCs/>
          <w:sz w:val="24"/>
          <w:szCs w:val="24"/>
        </w:rPr>
        <w:t>GPDPR [General Practice Data for Planning and Research]</w:t>
      </w:r>
    </w:p>
    <w:p w14:paraId="5D82DE9F" w14:textId="461C285F" w:rsidR="009B3FAD" w:rsidRDefault="009B3FAD" w:rsidP="009B3FAD">
      <w:pPr>
        <w:spacing w:after="0" w:line="240" w:lineRule="auto"/>
        <w:rPr>
          <w:rFonts w:ascii="Bliss 2 Light" w:hAnsi="Bliss 2 Light"/>
          <w:sz w:val="24"/>
          <w:szCs w:val="24"/>
        </w:rPr>
      </w:pPr>
    </w:p>
    <w:p w14:paraId="41459A28" w14:textId="0E3EB5CF" w:rsidR="00425039" w:rsidRDefault="00AD2A13" w:rsidP="009B3FAD">
      <w:pPr>
        <w:spacing w:after="0" w:line="240" w:lineRule="auto"/>
        <w:rPr>
          <w:rFonts w:ascii="Bliss 2 Light" w:hAnsi="Bliss 2 Light"/>
          <w:sz w:val="24"/>
          <w:szCs w:val="24"/>
        </w:rPr>
      </w:pPr>
      <w:r>
        <w:rPr>
          <w:rFonts w:ascii="Bliss 2 Light" w:hAnsi="Bliss 2 Light"/>
          <w:sz w:val="24"/>
          <w:szCs w:val="24"/>
        </w:rPr>
        <w:t>NHS Digital has sent a Data Provision Notice [DPN] to all GP practices advising them of the imminent roll out of the General Practice Data for Planning and Research [GPDPR].  This is the replacement for the GPES (GP Extraction Service).  There is a legal requirement for practices to comply</w:t>
      </w:r>
      <w:r w:rsidR="00755493">
        <w:rPr>
          <w:rFonts w:ascii="Bliss 2 Light" w:hAnsi="Bliss 2 Light"/>
          <w:sz w:val="24"/>
          <w:szCs w:val="24"/>
        </w:rPr>
        <w:t xml:space="preserve"> with the DPN</w:t>
      </w:r>
      <w:r>
        <w:rPr>
          <w:rFonts w:ascii="Bliss 2 Light" w:hAnsi="Bliss 2 Light"/>
          <w:sz w:val="24"/>
          <w:szCs w:val="24"/>
        </w:rPr>
        <w:t>.</w:t>
      </w:r>
    </w:p>
    <w:p w14:paraId="4269B3AB" w14:textId="6C1E7B57" w:rsidR="00AD2A13" w:rsidRDefault="00AD2A13" w:rsidP="009B3FAD">
      <w:pPr>
        <w:spacing w:after="0" w:line="240" w:lineRule="auto"/>
        <w:rPr>
          <w:rFonts w:ascii="Bliss 2 Light" w:hAnsi="Bliss 2 Light"/>
          <w:sz w:val="24"/>
          <w:szCs w:val="24"/>
        </w:rPr>
      </w:pPr>
    </w:p>
    <w:p w14:paraId="686E98BD" w14:textId="43AE5508" w:rsidR="00AD2A13" w:rsidRDefault="00AD2A13" w:rsidP="009B3FAD">
      <w:pPr>
        <w:spacing w:after="0" w:line="240" w:lineRule="auto"/>
        <w:rPr>
          <w:rFonts w:ascii="Bliss 2 Light" w:hAnsi="Bliss 2 Light"/>
          <w:sz w:val="24"/>
          <w:szCs w:val="24"/>
        </w:rPr>
      </w:pPr>
      <w:r>
        <w:rPr>
          <w:rFonts w:ascii="Bliss 2 Light" w:hAnsi="Bliss 2 Light"/>
          <w:sz w:val="24"/>
          <w:szCs w:val="24"/>
        </w:rPr>
        <w:t>GPDPR extraction will commence from 1</w:t>
      </w:r>
      <w:r w:rsidRPr="00AD2A13">
        <w:rPr>
          <w:rFonts w:ascii="Bliss 2 Light" w:hAnsi="Bliss 2 Light"/>
          <w:sz w:val="24"/>
          <w:szCs w:val="24"/>
          <w:vertAlign w:val="superscript"/>
        </w:rPr>
        <w:t>st</w:t>
      </w:r>
      <w:r>
        <w:rPr>
          <w:rFonts w:ascii="Bliss 2 Light" w:hAnsi="Bliss 2 Light"/>
          <w:sz w:val="24"/>
          <w:szCs w:val="24"/>
        </w:rPr>
        <w:t xml:space="preserve"> July 2021; the exact method and form of the invitation will depend on practices IT system, but the invitation will include instructions on how to comply with the DPN.</w:t>
      </w:r>
    </w:p>
    <w:p w14:paraId="1200E2E3" w14:textId="470CC846" w:rsidR="00AD2A13" w:rsidRDefault="00AD2A13" w:rsidP="009B3FAD">
      <w:pPr>
        <w:spacing w:after="0" w:line="240" w:lineRule="auto"/>
        <w:rPr>
          <w:rFonts w:ascii="Bliss 2 Light" w:hAnsi="Bliss 2 Light"/>
          <w:sz w:val="24"/>
          <w:szCs w:val="24"/>
        </w:rPr>
      </w:pPr>
    </w:p>
    <w:p w14:paraId="506C0CE8" w14:textId="1D39A20A" w:rsidR="00AD2A13" w:rsidRDefault="00AD2A13" w:rsidP="009B3FAD">
      <w:pPr>
        <w:spacing w:after="0" w:line="240" w:lineRule="auto"/>
        <w:rPr>
          <w:rFonts w:ascii="Bliss 2 Light" w:hAnsi="Bliss 2 Light"/>
          <w:sz w:val="24"/>
          <w:szCs w:val="24"/>
        </w:rPr>
      </w:pPr>
      <w:r>
        <w:rPr>
          <w:rFonts w:ascii="Bliss 2 Light" w:hAnsi="Bliss 2 Light"/>
          <w:sz w:val="24"/>
          <w:szCs w:val="24"/>
        </w:rPr>
        <w:t xml:space="preserve">The intention is that GPDPR will replace the multiple different extractions that were formerly occurring. NHS Digital has agreed that whilst GP remain the Data Controller of practice patient records, once the data has been extracted from the practice record and passed to NHS Digital, NHS Digital will then be the responsible </w:t>
      </w:r>
      <w:r w:rsidR="00755493">
        <w:rPr>
          <w:rFonts w:ascii="Bliss 2 Light" w:hAnsi="Bliss 2 Light"/>
          <w:sz w:val="24"/>
          <w:szCs w:val="24"/>
        </w:rPr>
        <w:t>D</w:t>
      </w:r>
      <w:r>
        <w:rPr>
          <w:rFonts w:ascii="Bliss 2 Light" w:hAnsi="Bliss 2 Light"/>
          <w:sz w:val="24"/>
          <w:szCs w:val="24"/>
        </w:rPr>
        <w:t xml:space="preserve">ata </w:t>
      </w:r>
      <w:r w:rsidR="00755493">
        <w:rPr>
          <w:rFonts w:ascii="Bliss 2 Light" w:hAnsi="Bliss 2 Light"/>
          <w:sz w:val="24"/>
          <w:szCs w:val="24"/>
        </w:rPr>
        <w:t>C</w:t>
      </w:r>
      <w:r>
        <w:rPr>
          <w:rFonts w:ascii="Bliss 2 Light" w:hAnsi="Bliss 2 Light"/>
          <w:sz w:val="24"/>
          <w:szCs w:val="24"/>
        </w:rPr>
        <w:t>ontroller under GD</w:t>
      </w:r>
      <w:r w:rsidR="00755493">
        <w:rPr>
          <w:rFonts w:ascii="Bliss 2 Light" w:hAnsi="Bliss 2 Light"/>
          <w:sz w:val="24"/>
          <w:szCs w:val="24"/>
        </w:rPr>
        <w:t>P</w:t>
      </w:r>
      <w:r>
        <w:rPr>
          <w:rFonts w:ascii="Bliss 2 Light" w:hAnsi="Bliss 2 Light"/>
          <w:sz w:val="24"/>
          <w:szCs w:val="24"/>
        </w:rPr>
        <w:t xml:space="preserve">R for allowing access to this data and its discrimination for planning and research.  GP data has a key role in public health research </w:t>
      </w:r>
      <w:r w:rsidR="00F37BE6">
        <w:rPr>
          <w:rFonts w:ascii="Bliss 2 Light" w:hAnsi="Bliss 2 Light"/>
          <w:sz w:val="24"/>
          <w:szCs w:val="24"/>
        </w:rPr>
        <w:t>a</w:t>
      </w:r>
      <w:r>
        <w:rPr>
          <w:rFonts w:ascii="Bliss 2 Light" w:hAnsi="Bliss 2 Light"/>
          <w:sz w:val="24"/>
          <w:szCs w:val="24"/>
        </w:rPr>
        <w:t xml:space="preserve">nd planning. </w:t>
      </w:r>
    </w:p>
    <w:p w14:paraId="635931FF" w14:textId="6FDFFF1E" w:rsidR="00AD2A13" w:rsidRDefault="00AD2A13" w:rsidP="009B3FAD">
      <w:pPr>
        <w:spacing w:after="0" w:line="240" w:lineRule="auto"/>
        <w:rPr>
          <w:rFonts w:ascii="Bliss 2 Light" w:hAnsi="Bliss 2 Light"/>
          <w:sz w:val="24"/>
          <w:szCs w:val="24"/>
        </w:rPr>
      </w:pPr>
    </w:p>
    <w:p w14:paraId="7F4B08EC" w14:textId="2776191A" w:rsidR="00AD2A13" w:rsidRDefault="00AD2A13" w:rsidP="009B3FAD">
      <w:pPr>
        <w:spacing w:after="0" w:line="240" w:lineRule="auto"/>
        <w:rPr>
          <w:rFonts w:ascii="Bliss 2 Light" w:hAnsi="Bliss 2 Light"/>
          <w:sz w:val="24"/>
          <w:szCs w:val="24"/>
        </w:rPr>
      </w:pPr>
      <w:r>
        <w:rPr>
          <w:rFonts w:ascii="Bliss 2 Light" w:hAnsi="Bliss 2 Light"/>
          <w:sz w:val="24"/>
          <w:szCs w:val="24"/>
        </w:rPr>
        <w:t>In terms of next steps</w:t>
      </w:r>
      <w:r w:rsidR="00F37BE6">
        <w:rPr>
          <w:rFonts w:ascii="Bliss 2 Light" w:hAnsi="Bliss 2 Light"/>
          <w:sz w:val="24"/>
          <w:szCs w:val="24"/>
        </w:rPr>
        <w:t xml:space="preserve">, please look at the ‘Further Information for GP Practices’ section of NHS Digital’s information page on GPDPR at: - </w:t>
      </w:r>
    </w:p>
    <w:p w14:paraId="78ADD33B" w14:textId="470A2144" w:rsidR="00F37BE6" w:rsidRDefault="00F37BE6" w:rsidP="009B3FAD">
      <w:pPr>
        <w:spacing w:after="0" w:line="240" w:lineRule="auto"/>
        <w:rPr>
          <w:rFonts w:ascii="Bliss 2 Light" w:hAnsi="Bliss 2 Light"/>
          <w:sz w:val="24"/>
          <w:szCs w:val="24"/>
        </w:rPr>
      </w:pPr>
    </w:p>
    <w:p w14:paraId="2F7081EB" w14:textId="77777777" w:rsidR="00755493" w:rsidRDefault="006A7BB1" w:rsidP="00755493">
      <w:hyperlink r:id="rId8" w:anchor="further-information-for-gp-practices" w:history="1">
        <w:r w:rsidR="00755493">
          <w:rPr>
            <w:rStyle w:val="Hyperlink"/>
          </w:rPr>
          <w:t>General Practice Data for Planning and Research (GPDPR) - NHS Digital</w:t>
        </w:r>
      </w:hyperlink>
    </w:p>
    <w:p w14:paraId="33A754B9" w14:textId="356A0630" w:rsidR="00F37BE6" w:rsidRDefault="00F37BE6" w:rsidP="009B3FAD">
      <w:pPr>
        <w:spacing w:after="0" w:line="240" w:lineRule="auto"/>
        <w:rPr>
          <w:rFonts w:ascii="Bliss 2 Light" w:hAnsi="Bliss 2 Light"/>
          <w:sz w:val="24"/>
          <w:szCs w:val="24"/>
        </w:rPr>
      </w:pPr>
    </w:p>
    <w:p w14:paraId="3F7C3621" w14:textId="34BA2623" w:rsidR="00F37BE6" w:rsidRDefault="00F37BE6" w:rsidP="009B3FAD">
      <w:pPr>
        <w:spacing w:after="0" w:line="240" w:lineRule="auto"/>
        <w:rPr>
          <w:rFonts w:ascii="Bliss 2 Light" w:hAnsi="Bliss 2 Light"/>
          <w:sz w:val="24"/>
          <w:szCs w:val="24"/>
        </w:rPr>
      </w:pPr>
      <w:r>
        <w:rPr>
          <w:rFonts w:ascii="Bliss 2 Light" w:hAnsi="Bliss 2 Light"/>
          <w:sz w:val="24"/>
          <w:szCs w:val="24"/>
        </w:rPr>
        <w:t>In summary, practices will need to</w:t>
      </w:r>
    </w:p>
    <w:p w14:paraId="6455D578" w14:textId="4BEB44BE" w:rsidR="00F37BE6" w:rsidRDefault="00F37BE6" w:rsidP="009B3FAD">
      <w:pPr>
        <w:spacing w:after="0" w:line="240" w:lineRule="auto"/>
        <w:rPr>
          <w:rFonts w:ascii="Bliss 2 Light" w:hAnsi="Bliss 2 Light"/>
          <w:sz w:val="24"/>
          <w:szCs w:val="24"/>
        </w:rPr>
      </w:pPr>
    </w:p>
    <w:p w14:paraId="24D0FED5" w14:textId="45A4B358" w:rsidR="00F37BE6" w:rsidRDefault="00F37BE6" w:rsidP="00F37BE6">
      <w:pPr>
        <w:pStyle w:val="ListParagraph"/>
        <w:numPr>
          <w:ilvl w:val="0"/>
          <w:numId w:val="11"/>
        </w:numPr>
        <w:spacing w:after="0" w:line="240" w:lineRule="auto"/>
        <w:rPr>
          <w:rFonts w:ascii="Bliss 2 Light" w:hAnsi="Bliss 2 Light"/>
          <w:sz w:val="24"/>
          <w:szCs w:val="24"/>
        </w:rPr>
      </w:pPr>
      <w:r w:rsidRPr="002060F3">
        <w:rPr>
          <w:rFonts w:ascii="Bliss 2 Light" w:hAnsi="Bliss 2 Light"/>
          <w:b/>
          <w:bCs/>
          <w:sz w:val="24"/>
          <w:szCs w:val="24"/>
        </w:rPr>
        <w:t>Register your participation on the GP IT System</w:t>
      </w:r>
      <w:r>
        <w:rPr>
          <w:rFonts w:ascii="Bliss 2 Light" w:hAnsi="Bliss 2 Light"/>
          <w:sz w:val="24"/>
          <w:szCs w:val="24"/>
        </w:rPr>
        <w:t xml:space="preserve">, this need only be done </w:t>
      </w:r>
      <w:r w:rsidR="00EF10FE">
        <w:rPr>
          <w:rFonts w:ascii="Bliss 2 Light" w:hAnsi="Bliss 2 Light"/>
          <w:sz w:val="24"/>
          <w:szCs w:val="24"/>
        </w:rPr>
        <w:t>once,</w:t>
      </w:r>
      <w:r>
        <w:rPr>
          <w:rFonts w:ascii="Bliss 2 Light" w:hAnsi="Bliss 2 Light"/>
          <w:sz w:val="24"/>
          <w:szCs w:val="24"/>
        </w:rPr>
        <w:t xml:space="preserve"> and data extraction will not commence before 1</w:t>
      </w:r>
      <w:r w:rsidRPr="00F37BE6">
        <w:rPr>
          <w:rFonts w:ascii="Bliss 2 Light" w:hAnsi="Bliss 2 Light"/>
          <w:sz w:val="24"/>
          <w:szCs w:val="24"/>
          <w:vertAlign w:val="superscript"/>
        </w:rPr>
        <w:t>st</w:t>
      </w:r>
      <w:r>
        <w:rPr>
          <w:rFonts w:ascii="Bliss 2 Light" w:hAnsi="Bliss 2 Light"/>
          <w:sz w:val="24"/>
          <w:szCs w:val="24"/>
        </w:rPr>
        <w:t xml:space="preserve"> July 2021. </w:t>
      </w:r>
    </w:p>
    <w:p w14:paraId="30C7D135" w14:textId="77777777" w:rsidR="002060F3" w:rsidRDefault="002060F3" w:rsidP="002060F3">
      <w:pPr>
        <w:pStyle w:val="ListParagraph"/>
        <w:spacing w:after="0" w:line="240" w:lineRule="auto"/>
        <w:rPr>
          <w:rFonts w:ascii="Bliss 2 Light" w:hAnsi="Bliss 2 Light"/>
          <w:sz w:val="24"/>
          <w:szCs w:val="24"/>
        </w:rPr>
      </w:pPr>
    </w:p>
    <w:p w14:paraId="4A6892EA" w14:textId="3C9EBDD5" w:rsidR="00F37BE6" w:rsidRDefault="00F37BE6" w:rsidP="00F37BE6">
      <w:pPr>
        <w:pStyle w:val="ListParagraph"/>
        <w:numPr>
          <w:ilvl w:val="0"/>
          <w:numId w:val="11"/>
        </w:numPr>
        <w:spacing w:after="0" w:line="240" w:lineRule="auto"/>
        <w:rPr>
          <w:rFonts w:ascii="Bliss 2 Light" w:hAnsi="Bliss 2 Light"/>
          <w:sz w:val="24"/>
          <w:szCs w:val="24"/>
        </w:rPr>
      </w:pPr>
      <w:r w:rsidRPr="002060F3">
        <w:rPr>
          <w:rFonts w:ascii="Bliss 2 Light" w:hAnsi="Bliss 2 Light"/>
          <w:b/>
          <w:bCs/>
          <w:sz w:val="24"/>
          <w:szCs w:val="24"/>
        </w:rPr>
        <w:t>Update your patient privacy information</w:t>
      </w:r>
      <w:r>
        <w:rPr>
          <w:rFonts w:ascii="Bliss 2 Light" w:hAnsi="Bliss 2 Light"/>
          <w:sz w:val="24"/>
          <w:szCs w:val="24"/>
        </w:rPr>
        <w:t xml:space="preserve">; GP practices </w:t>
      </w:r>
      <w:proofErr w:type="gramStart"/>
      <w:r>
        <w:rPr>
          <w:rFonts w:ascii="Bliss 2 Light" w:hAnsi="Bliss 2 Light"/>
          <w:sz w:val="24"/>
          <w:szCs w:val="24"/>
        </w:rPr>
        <w:t>have to</w:t>
      </w:r>
      <w:proofErr w:type="gramEnd"/>
      <w:r>
        <w:rPr>
          <w:rFonts w:ascii="Bliss 2 Light" w:hAnsi="Bliss 2 Light"/>
          <w:sz w:val="24"/>
          <w:szCs w:val="24"/>
        </w:rPr>
        <w:t xml:space="preserve"> inform patients under </w:t>
      </w:r>
      <w:r w:rsidR="00755493">
        <w:rPr>
          <w:rFonts w:ascii="Bliss 2 Light" w:hAnsi="Bliss 2 Light"/>
          <w:sz w:val="24"/>
          <w:szCs w:val="24"/>
        </w:rPr>
        <w:t xml:space="preserve">GDPR </w:t>
      </w:r>
      <w:r>
        <w:rPr>
          <w:rFonts w:ascii="Bliss 2 Light" w:hAnsi="Bliss 2 Light"/>
          <w:sz w:val="24"/>
          <w:szCs w:val="24"/>
        </w:rPr>
        <w:t xml:space="preserve">about the data they are sharing with others.  </w:t>
      </w:r>
      <w:r w:rsidR="002060F3">
        <w:rPr>
          <w:rFonts w:ascii="Bliss 2 Light" w:hAnsi="Bliss 2 Light"/>
          <w:sz w:val="24"/>
          <w:szCs w:val="24"/>
        </w:rPr>
        <w:t xml:space="preserve">  NHS Digital has produced a </w:t>
      </w:r>
      <w:r w:rsidR="00EF10FE">
        <w:rPr>
          <w:rFonts w:ascii="Bliss 2 Light" w:hAnsi="Bliss 2 Light"/>
          <w:sz w:val="24"/>
          <w:szCs w:val="24"/>
        </w:rPr>
        <w:t>sample</w:t>
      </w:r>
      <w:r w:rsidR="002060F3">
        <w:rPr>
          <w:rFonts w:ascii="Bliss 2 Light" w:hAnsi="Bliss 2 Light"/>
          <w:sz w:val="24"/>
          <w:szCs w:val="24"/>
        </w:rPr>
        <w:t xml:space="preserve"> GP Practice Privacy Notice which informs patients about GPDPR, and links to further information.</w:t>
      </w:r>
    </w:p>
    <w:p w14:paraId="76C5742D" w14:textId="77777777" w:rsidR="002060F3" w:rsidRPr="002060F3" w:rsidRDefault="002060F3" w:rsidP="002060F3">
      <w:pPr>
        <w:spacing w:after="0" w:line="240" w:lineRule="auto"/>
        <w:rPr>
          <w:rFonts w:ascii="Bliss 2 Light" w:hAnsi="Bliss 2 Light"/>
          <w:sz w:val="24"/>
          <w:szCs w:val="24"/>
        </w:rPr>
      </w:pPr>
    </w:p>
    <w:p w14:paraId="506E58F2" w14:textId="7AD18509" w:rsidR="002060F3" w:rsidRPr="002060F3" w:rsidRDefault="002060F3" w:rsidP="00F37BE6">
      <w:pPr>
        <w:pStyle w:val="ListParagraph"/>
        <w:numPr>
          <w:ilvl w:val="0"/>
          <w:numId w:val="11"/>
        </w:numPr>
        <w:spacing w:after="0" w:line="240" w:lineRule="auto"/>
        <w:rPr>
          <w:rFonts w:ascii="Bliss 2 Light" w:hAnsi="Bliss 2 Light"/>
          <w:b/>
          <w:bCs/>
          <w:sz w:val="24"/>
          <w:szCs w:val="24"/>
        </w:rPr>
      </w:pPr>
      <w:r w:rsidRPr="002060F3">
        <w:rPr>
          <w:rFonts w:ascii="Bliss 2 Light" w:hAnsi="Bliss 2 Light"/>
          <w:b/>
          <w:bCs/>
          <w:sz w:val="24"/>
          <w:szCs w:val="24"/>
        </w:rPr>
        <w:t xml:space="preserve">Register </w:t>
      </w:r>
      <w:r w:rsidR="00755493">
        <w:rPr>
          <w:rFonts w:ascii="Bliss 2 Light" w:hAnsi="Bliss 2 Light"/>
          <w:b/>
          <w:bCs/>
          <w:sz w:val="24"/>
          <w:szCs w:val="24"/>
        </w:rPr>
        <w:t xml:space="preserve">patient </w:t>
      </w:r>
      <w:r w:rsidRPr="002060F3">
        <w:rPr>
          <w:rFonts w:ascii="Bliss 2 Light" w:hAnsi="Bliss 2 Light"/>
          <w:b/>
          <w:bCs/>
          <w:sz w:val="24"/>
          <w:szCs w:val="24"/>
        </w:rPr>
        <w:t>Opt-outs</w:t>
      </w:r>
    </w:p>
    <w:p w14:paraId="0BBBF17C" w14:textId="227C1A44" w:rsidR="002060F3" w:rsidRDefault="002060F3" w:rsidP="002060F3">
      <w:pPr>
        <w:pStyle w:val="ListParagraph"/>
        <w:spacing w:after="0" w:line="240" w:lineRule="auto"/>
        <w:rPr>
          <w:rFonts w:ascii="Bliss 2 Light" w:hAnsi="Bliss 2 Light"/>
          <w:sz w:val="24"/>
          <w:szCs w:val="24"/>
        </w:rPr>
      </w:pPr>
      <w:r>
        <w:rPr>
          <w:rFonts w:ascii="Bliss 2 Light" w:hAnsi="Bliss 2 Light"/>
          <w:sz w:val="24"/>
          <w:szCs w:val="24"/>
        </w:rPr>
        <w:t>There are two opt-outs</w:t>
      </w:r>
    </w:p>
    <w:p w14:paraId="0E0854FC" w14:textId="649CCB5C" w:rsidR="002060F3" w:rsidRPr="00077760" w:rsidRDefault="002060F3" w:rsidP="00077760">
      <w:r w:rsidRPr="002060F3">
        <w:rPr>
          <w:rFonts w:ascii="Bliss 2 Light" w:hAnsi="Bliss 2 Light"/>
          <w:b/>
          <w:bCs/>
          <w:sz w:val="24"/>
          <w:szCs w:val="24"/>
        </w:rPr>
        <w:lastRenderedPageBreak/>
        <w:t>The National Data Opt-</w:t>
      </w:r>
      <w:proofErr w:type="gramStart"/>
      <w:r w:rsidRPr="002060F3">
        <w:rPr>
          <w:rFonts w:ascii="Bliss 2 Light" w:hAnsi="Bliss 2 Light"/>
          <w:b/>
          <w:bCs/>
          <w:sz w:val="24"/>
          <w:szCs w:val="24"/>
        </w:rPr>
        <w:t>out</w:t>
      </w:r>
      <w:r>
        <w:rPr>
          <w:rFonts w:ascii="Bliss 2 Light" w:hAnsi="Bliss 2 Light"/>
          <w:sz w:val="24"/>
          <w:szCs w:val="24"/>
        </w:rPr>
        <w:t>;</w:t>
      </w:r>
      <w:proofErr w:type="gramEnd"/>
      <w:r>
        <w:rPr>
          <w:rFonts w:ascii="Bliss 2 Light" w:hAnsi="Bliss 2 Light"/>
          <w:sz w:val="24"/>
          <w:szCs w:val="24"/>
        </w:rPr>
        <w:t xml:space="preserve"> which means NHS Digital will not share any confidential patient information</w:t>
      </w:r>
      <w:r w:rsidR="00755493">
        <w:rPr>
          <w:rFonts w:ascii="Bliss 2 Light" w:hAnsi="Bliss 2 Light"/>
          <w:sz w:val="24"/>
          <w:szCs w:val="24"/>
        </w:rPr>
        <w:t xml:space="preserve"> from the data it holds</w:t>
      </w:r>
      <w:r>
        <w:rPr>
          <w:rFonts w:ascii="Bliss 2 Light" w:hAnsi="Bliss 2 Light"/>
          <w:sz w:val="24"/>
          <w:szCs w:val="24"/>
        </w:rPr>
        <w:t>, but data will be collected from GP medical records</w:t>
      </w:r>
      <w:r w:rsidR="00755493">
        <w:rPr>
          <w:rFonts w:ascii="Bliss 2 Light" w:hAnsi="Bliss 2 Light"/>
          <w:sz w:val="24"/>
          <w:szCs w:val="24"/>
        </w:rPr>
        <w:t xml:space="preserve">.  Patients can be diverted to </w:t>
      </w:r>
      <w:hyperlink r:id="rId9" w:history="1">
        <w:r w:rsidR="00077760">
          <w:rPr>
            <w:rStyle w:val="Hyperlink"/>
          </w:rPr>
          <w:t>https://digital.nhs.uk/services/national-data-opt-out</w:t>
        </w:r>
      </w:hyperlink>
      <w:r w:rsidR="00077760">
        <w:t xml:space="preserve"> </w:t>
      </w:r>
      <w:r w:rsidR="00755493">
        <w:t>for more information.</w:t>
      </w:r>
    </w:p>
    <w:p w14:paraId="612D0725" w14:textId="77777777" w:rsidR="002060F3" w:rsidRDefault="002060F3" w:rsidP="002060F3">
      <w:pPr>
        <w:pStyle w:val="ListParagraph"/>
        <w:spacing w:after="0" w:line="240" w:lineRule="auto"/>
        <w:ind w:left="1440"/>
        <w:rPr>
          <w:rFonts w:ascii="Bliss 2 Light" w:hAnsi="Bliss 2 Light"/>
          <w:sz w:val="24"/>
          <w:szCs w:val="24"/>
        </w:rPr>
      </w:pPr>
    </w:p>
    <w:p w14:paraId="05D1D6C6" w14:textId="504039F3" w:rsidR="002060F3" w:rsidRDefault="002060F3" w:rsidP="002060F3">
      <w:pPr>
        <w:pStyle w:val="ListParagraph"/>
        <w:numPr>
          <w:ilvl w:val="0"/>
          <w:numId w:val="12"/>
        </w:numPr>
        <w:spacing w:after="0" w:line="240" w:lineRule="auto"/>
        <w:rPr>
          <w:rFonts w:ascii="Bliss 2 Light" w:hAnsi="Bliss 2 Light"/>
          <w:sz w:val="24"/>
          <w:szCs w:val="24"/>
        </w:rPr>
      </w:pPr>
      <w:r w:rsidRPr="002060F3">
        <w:rPr>
          <w:rFonts w:ascii="Bliss 2 Light" w:hAnsi="Bliss 2 Light"/>
          <w:b/>
          <w:bCs/>
          <w:sz w:val="24"/>
          <w:szCs w:val="24"/>
        </w:rPr>
        <w:t>Type 1 opt-out</w:t>
      </w:r>
      <w:r>
        <w:rPr>
          <w:rFonts w:ascii="Bliss 2 Light" w:hAnsi="Bliss 2 Light"/>
          <w:sz w:val="24"/>
          <w:szCs w:val="24"/>
        </w:rPr>
        <w:t>, this means NHS Digital will not collect data from GP practices where the patient has registered a Type 1 opt out.  In order for no data to be extracted, the opt out must be registered before 23</w:t>
      </w:r>
      <w:r w:rsidRPr="002060F3">
        <w:rPr>
          <w:rFonts w:ascii="Bliss 2 Light" w:hAnsi="Bliss 2 Light"/>
          <w:sz w:val="24"/>
          <w:szCs w:val="24"/>
          <w:vertAlign w:val="superscript"/>
        </w:rPr>
        <w:t>rd</w:t>
      </w:r>
      <w:r>
        <w:rPr>
          <w:rFonts w:ascii="Bliss 2 Light" w:hAnsi="Bliss 2 Light"/>
          <w:sz w:val="24"/>
          <w:szCs w:val="24"/>
        </w:rPr>
        <w:t xml:space="preserve"> June 2021. If a type 1 Opt-out is registered after that date, no extraction will occur from the date but NHS Digital will still hold data extracted before the opt-out date.  </w:t>
      </w:r>
      <w:proofErr w:type="gramStart"/>
      <w:r>
        <w:rPr>
          <w:rFonts w:ascii="Bliss 2 Light" w:hAnsi="Bliss 2 Light"/>
          <w:sz w:val="24"/>
          <w:szCs w:val="24"/>
        </w:rPr>
        <w:t>In order to</w:t>
      </w:r>
      <w:proofErr w:type="gramEnd"/>
      <w:r>
        <w:rPr>
          <w:rFonts w:ascii="Bliss 2 Light" w:hAnsi="Bliss 2 Light"/>
          <w:sz w:val="24"/>
          <w:szCs w:val="24"/>
        </w:rPr>
        <w:t xml:space="preserve"> prevent NHS Digital sharing data, a National Data Opt-Out is required. </w:t>
      </w:r>
      <w:r w:rsidR="00755493">
        <w:rPr>
          <w:rFonts w:ascii="Bliss 2 Light" w:hAnsi="Bliss 2 Light"/>
          <w:sz w:val="24"/>
          <w:szCs w:val="24"/>
        </w:rPr>
        <w:t xml:space="preserve"> In time, Type 1 opt-outs may be phased out and be replaced by the National Data opt-out, but for the present Type 2 opt-outs remain valid. </w:t>
      </w:r>
    </w:p>
    <w:p w14:paraId="240F191F" w14:textId="5A916C1F" w:rsidR="002060F3" w:rsidRDefault="002060F3" w:rsidP="002060F3">
      <w:pPr>
        <w:pStyle w:val="ListParagraph"/>
        <w:rPr>
          <w:rFonts w:ascii="Bliss 2 Light" w:hAnsi="Bliss 2 Light"/>
          <w:sz w:val="24"/>
          <w:szCs w:val="24"/>
        </w:rPr>
      </w:pPr>
    </w:p>
    <w:p w14:paraId="17EDB8B5" w14:textId="77777777" w:rsidR="008772B8" w:rsidRPr="002060F3" w:rsidRDefault="008772B8" w:rsidP="002060F3">
      <w:pPr>
        <w:pStyle w:val="ListParagraph"/>
        <w:rPr>
          <w:rFonts w:ascii="Bliss 2 Light" w:hAnsi="Bliss 2 Light"/>
          <w:sz w:val="24"/>
          <w:szCs w:val="24"/>
        </w:rPr>
      </w:pPr>
    </w:p>
    <w:p w14:paraId="6E8FF74C" w14:textId="5473C4E7" w:rsidR="002060F3" w:rsidRDefault="002060F3" w:rsidP="002060F3">
      <w:pPr>
        <w:spacing w:after="0" w:line="240" w:lineRule="auto"/>
        <w:rPr>
          <w:rFonts w:ascii="Bliss 2 Light" w:hAnsi="Bliss 2 Light"/>
          <w:sz w:val="24"/>
          <w:szCs w:val="24"/>
        </w:rPr>
      </w:pPr>
      <w:r>
        <w:rPr>
          <w:rFonts w:ascii="Bliss 2 Light" w:hAnsi="Bliss 2 Light"/>
          <w:sz w:val="24"/>
          <w:szCs w:val="24"/>
        </w:rPr>
        <w:t>The following documents are available to practices.</w:t>
      </w:r>
    </w:p>
    <w:p w14:paraId="7855BD96" w14:textId="0C57245F" w:rsidR="002060F3" w:rsidRDefault="002060F3" w:rsidP="002060F3">
      <w:pPr>
        <w:spacing w:after="0" w:line="240" w:lineRule="auto"/>
        <w:rPr>
          <w:rFonts w:ascii="Bliss 2 Light" w:hAnsi="Bliss 2 Light"/>
          <w:sz w:val="24"/>
          <w:szCs w:val="24"/>
        </w:rPr>
      </w:pPr>
    </w:p>
    <w:p w14:paraId="061B142D" w14:textId="7F29D23C" w:rsidR="002060F3" w:rsidRDefault="002060F3" w:rsidP="002060F3">
      <w:pPr>
        <w:pStyle w:val="ListParagraph"/>
        <w:numPr>
          <w:ilvl w:val="0"/>
          <w:numId w:val="13"/>
        </w:numPr>
        <w:spacing w:after="0" w:line="240" w:lineRule="auto"/>
        <w:rPr>
          <w:rFonts w:ascii="Bliss 2 Light" w:hAnsi="Bliss 2 Light"/>
          <w:sz w:val="24"/>
          <w:szCs w:val="24"/>
        </w:rPr>
      </w:pPr>
      <w:r>
        <w:rPr>
          <w:rFonts w:ascii="Bliss 2 Light" w:hAnsi="Bliss 2 Light"/>
          <w:sz w:val="24"/>
          <w:szCs w:val="24"/>
        </w:rPr>
        <w:t xml:space="preserve">The Data Provision Notice </w:t>
      </w:r>
    </w:p>
    <w:p w14:paraId="027339D8" w14:textId="68B4F39B" w:rsidR="004F1BEC" w:rsidRDefault="006A7BB1" w:rsidP="004F1BEC">
      <w:pPr>
        <w:pStyle w:val="ListParagraph"/>
        <w:spacing w:after="0" w:line="240" w:lineRule="auto"/>
        <w:rPr>
          <w:rFonts w:ascii="Bliss 2 Light" w:hAnsi="Bliss 2 Light"/>
          <w:sz w:val="24"/>
          <w:szCs w:val="24"/>
        </w:rPr>
      </w:pPr>
      <w:hyperlink r:id="rId10" w:history="1">
        <w:r w:rsidR="004F1BEC" w:rsidRPr="005256AA">
          <w:rPr>
            <w:rStyle w:val="Hyperlink"/>
          </w:rPr>
          <w:t>https://digital.nhs.uk/binaries/content/assets/website-assets/corporate-information/directions-and-data-provision-notices/data-provision-notices/general-practice-data-for-planning-and-research-dpn-v1.0.pdf</w:t>
        </w:r>
      </w:hyperlink>
    </w:p>
    <w:p w14:paraId="3F1040DF" w14:textId="77777777" w:rsidR="002060F3" w:rsidRDefault="002060F3" w:rsidP="002060F3">
      <w:pPr>
        <w:pStyle w:val="ListParagraph"/>
        <w:spacing w:after="0" w:line="240" w:lineRule="auto"/>
        <w:rPr>
          <w:rFonts w:ascii="Bliss 2 Light" w:hAnsi="Bliss 2 Light"/>
          <w:sz w:val="24"/>
          <w:szCs w:val="24"/>
        </w:rPr>
      </w:pPr>
    </w:p>
    <w:p w14:paraId="21543036" w14:textId="6D959123" w:rsidR="002060F3" w:rsidRDefault="002060F3" w:rsidP="002060F3">
      <w:pPr>
        <w:pStyle w:val="ListParagraph"/>
        <w:numPr>
          <w:ilvl w:val="0"/>
          <w:numId w:val="13"/>
        </w:numPr>
        <w:spacing w:after="0" w:line="240" w:lineRule="auto"/>
        <w:rPr>
          <w:rFonts w:ascii="Bliss 2 Light" w:hAnsi="Bliss 2 Light"/>
          <w:sz w:val="24"/>
          <w:szCs w:val="24"/>
        </w:rPr>
      </w:pPr>
      <w:r>
        <w:rPr>
          <w:rFonts w:ascii="Bliss 2 Light" w:hAnsi="Bliss 2 Light"/>
          <w:sz w:val="24"/>
          <w:szCs w:val="24"/>
        </w:rPr>
        <w:t>Privacy Statement</w:t>
      </w:r>
    </w:p>
    <w:p w14:paraId="1DEDDBA9" w14:textId="40D25203" w:rsidR="002060F3" w:rsidRDefault="006A7BB1" w:rsidP="004F1BEC">
      <w:pPr>
        <w:spacing w:after="0" w:line="240" w:lineRule="auto"/>
        <w:ind w:firstLine="720"/>
      </w:pPr>
      <w:hyperlink r:id="rId11" w:history="1">
        <w:r w:rsidR="004F1BEC">
          <w:rPr>
            <w:rStyle w:val="Hyperlink"/>
          </w:rPr>
          <w:t>General Practice Data for Planning and Research: GP Practice Privacy Notice - NHS Digital</w:t>
        </w:r>
      </w:hyperlink>
    </w:p>
    <w:p w14:paraId="5FA10758" w14:textId="77777777" w:rsidR="004F1BEC" w:rsidRPr="002060F3" w:rsidRDefault="004F1BEC" w:rsidP="004F1BEC">
      <w:pPr>
        <w:spacing w:after="0" w:line="240" w:lineRule="auto"/>
        <w:ind w:firstLine="720"/>
        <w:rPr>
          <w:rFonts w:ascii="Bliss 2 Light" w:hAnsi="Bliss 2 Light"/>
          <w:sz w:val="24"/>
          <w:szCs w:val="24"/>
        </w:rPr>
      </w:pPr>
    </w:p>
    <w:p w14:paraId="423C26B0" w14:textId="5244AC3D" w:rsidR="00755493" w:rsidRPr="00755493" w:rsidRDefault="002060F3" w:rsidP="00E35A2E">
      <w:pPr>
        <w:pStyle w:val="ListParagraph"/>
        <w:numPr>
          <w:ilvl w:val="0"/>
          <w:numId w:val="13"/>
        </w:numPr>
        <w:spacing w:after="0" w:line="240" w:lineRule="auto"/>
        <w:rPr>
          <w:rFonts w:ascii="Bliss 2 Light" w:hAnsi="Bliss 2 Light"/>
          <w:sz w:val="24"/>
          <w:szCs w:val="24"/>
        </w:rPr>
      </w:pPr>
      <w:r w:rsidRPr="00755493">
        <w:rPr>
          <w:rFonts w:ascii="Bliss 2 Light" w:hAnsi="Bliss 2 Light"/>
          <w:sz w:val="24"/>
          <w:szCs w:val="24"/>
        </w:rPr>
        <w:t>Patient Information on GPDPR</w:t>
      </w:r>
      <w:r w:rsidR="00755493" w:rsidRPr="00755493">
        <w:rPr>
          <w:rFonts w:ascii="Bliss 2 Light" w:hAnsi="Bliss 2 Light"/>
          <w:sz w:val="24"/>
          <w:szCs w:val="24"/>
        </w:rPr>
        <w:t xml:space="preserve"> </w:t>
      </w:r>
      <w:r w:rsidR="00755493">
        <w:rPr>
          <w:rFonts w:ascii="Bliss 2 Light" w:hAnsi="Bliss 2 Light"/>
          <w:sz w:val="24"/>
          <w:szCs w:val="24"/>
        </w:rPr>
        <w:t xml:space="preserve">and </w:t>
      </w:r>
      <w:r w:rsidRPr="00755493">
        <w:rPr>
          <w:rFonts w:ascii="Bliss 2 Light" w:hAnsi="Bliss 2 Light"/>
          <w:sz w:val="24"/>
          <w:szCs w:val="24"/>
        </w:rPr>
        <w:t>Transparency Notice</w:t>
      </w:r>
      <w:r w:rsidR="00755493" w:rsidRPr="00755493">
        <w:rPr>
          <w:rFonts w:ascii="Bliss 2 Light" w:hAnsi="Bliss 2 Light"/>
          <w:sz w:val="24"/>
          <w:szCs w:val="24"/>
        </w:rPr>
        <w:t xml:space="preserve">      </w:t>
      </w:r>
    </w:p>
    <w:p w14:paraId="719D6B48" w14:textId="32ECD1DF" w:rsidR="002060F3" w:rsidRPr="00755493" w:rsidRDefault="006A7BB1" w:rsidP="00755493">
      <w:pPr>
        <w:spacing w:after="0" w:line="240" w:lineRule="auto"/>
        <w:ind w:firstLine="720"/>
        <w:rPr>
          <w:rFonts w:ascii="Bliss 2 Light" w:hAnsi="Bliss 2 Light"/>
          <w:sz w:val="24"/>
          <w:szCs w:val="24"/>
        </w:rPr>
      </w:pPr>
      <w:hyperlink r:id="rId12" w:history="1">
        <w:r w:rsidR="00755493">
          <w:rPr>
            <w:rStyle w:val="Hyperlink"/>
          </w:rPr>
          <w:t>General Practice Data for Planning and Research: NHS Digital Transparency Notice - NHS Digital</w:t>
        </w:r>
      </w:hyperlink>
    </w:p>
    <w:p w14:paraId="12DABFDF" w14:textId="77777777" w:rsidR="002060F3" w:rsidRPr="002060F3" w:rsidRDefault="002060F3" w:rsidP="002060F3">
      <w:pPr>
        <w:spacing w:after="0" w:line="240" w:lineRule="auto"/>
        <w:rPr>
          <w:rFonts w:ascii="Bliss 2 Light" w:hAnsi="Bliss 2 Light"/>
          <w:sz w:val="24"/>
          <w:szCs w:val="24"/>
        </w:rPr>
      </w:pPr>
    </w:p>
    <w:p w14:paraId="700541A7" w14:textId="38B47CF0" w:rsidR="002060F3" w:rsidRDefault="002060F3" w:rsidP="002060F3">
      <w:pPr>
        <w:pStyle w:val="ListParagraph"/>
        <w:numPr>
          <w:ilvl w:val="0"/>
          <w:numId w:val="13"/>
        </w:numPr>
        <w:spacing w:after="0" w:line="240" w:lineRule="auto"/>
        <w:rPr>
          <w:rFonts w:ascii="Bliss 2 Light" w:hAnsi="Bliss 2 Light"/>
          <w:sz w:val="24"/>
          <w:szCs w:val="24"/>
        </w:rPr>
      </w:pPr>
      <w:r>
        <w:rPr>
          <w:rFonts w:ascii="Bliss 2 Light" w:hAnsi="Bliss 2 Light"/>
          <w:sz w:val="24"/>
          <w:szCs w:val="24"/>
        </w:rPr>
        <w:t>Type 1 opt-out form</w:t>
      </w:r>
      <w:r w:rsidR="004F1BEC">
        <w:rPr>
          <w:rFonts w:ascii="Bliss 2 Light" w:hAnsi="Bliss 2 Light"/>
          <w:sz w:val="24"/>
          <w:szCs w:val="24"/>
        </w:rPr>
        <w:t>: a copy of this form accompanies this letter</w:t>
      </w:r>
      <w:r>
        <w:rPr>
          <w:rFonts w:ascii="Bliss 2 Light" w:hAnsi="Bliss 2 Light"/>
          <w:sz w:val="24"/>
          <w:szCs w:val="24"/>
        </w:rPr>
        <w:t xml:space="preserve"> </w:t>
      </w:r>
    </w:p>
    <w:p w14:paraId="0AB72C3D" w14:textId="77777777" w:rsidR="002060F3" w:rsidRPr="002060F3" w:rsidRDefault="002060F3" w:rsidP="002060F3">
      <w:pPr>
        <w:spacing w:after="0" w:line="240" w:lineRule="auto"/>
        <w:rPr>
          <w:rFonts w:ascii="Bliss 2 Light" w:hAnsi="Bliss 2 Light"/>
          <w:sz w:val="24"/>
          <w:szCs w:val="24"/>
        </w:rPr>
      </w:pPr>
    </w:p>
    <w:p w14:paraId="0D6A93D4" w14:textId="2F907714" w:rsidR="002060F3" w:rsidRDefault="002060F3" w:rsidP="002060F3">
      <w:pPr>
        <w:pStyle w:val="ListParagraph"/>
        <w:numPr>
          <w:ilvl w:val="0"/>
          <w:numId w:val="13"/>
        </w:numPr>
        <w:spacing w:after="0" w:line="240" w:lineRule="auto"/>
        <w:rPr>
          <w:rFonts w:ascii="Bliss 2 Light" w:hAnsi="Bliss 2 Light"/>
          <w:sz w:val="24"/>
          <w:szCs w:val="24"/>
        </w:rPr>
      </w:pPr>
      <w:r>
        <w:rPr>
          <w:rFonts w:ascii="Bliss 2 Light" w:hAnsi="Bliss 2 Light"/>
          <w:sz w:val="24"/>
          <w:szCs w:val="24"/>
        </w:rPr>
        <w:t>BMA/RCGP statement</w:t>
      </w:r>
    </w:p>
    <w:p w14:paraId="543508B7" w14:textId="3CA6FB46" w:rsidR="00755493" w:rsidRPr="00755493" w:rsidRDefault="006A7BB1" w:rsidP="00755493">
      <w:pPr>
        <w:spacing w:after="0" w:line="240" w:lineRule="auto"/>
        <w:ind w:left="720"/>
        <w:rPr>
          <w:rFonts w:ascii="Bliss 2 Light" w:hAnsi="Bliss 2 Light"/>
          <w:sz w:val="24"/>
          <w:szCs w:val="24"/>
        </w:rPr>
      </w:pPr>
      <w:hyperlink r:id="rId13" w:history="1">
        <w:r w:rsidR="00755493">
          <w:rPr>
            <w:rStyle w:val="Hyperlink"/>
          </w:rPr>
          <w:t>Statement on GP data for planning and research (bma.org.uk)</w:t>
        </w:r>
      </w:hyperlink>
    </w:p>
    <w:p w14:paraId="2C1A6DDD" w14:textId="77777777" w:rsidR="002060F3" w:rsidRPr="002060F3" w:rsidRDefault="002060F3" w:rsidP="002060F3">
      <w:pPr>
        <w:pStyle w:val="ListParagraph"/>
        <w:spacing w:after="0" w:line="240" w:lineRule="auto"/>
        <w:rPr>
          <w:rFonts w:ascii="Bliss 2 Light" w:hAnsi="Bliss 2 Light"/>
          <w:sz w:val="24"/>
          <w:szCs w:val="24"/>
        </w:rPr>
      </w:pPr>
    </w:p>
    <w:p w14:paraId="385B987F" w14:textId="2CF61C13" w:rsidR="00F37BE6" w:rsidRDefault="00F37BE6" w:rsidP="009B3FAD">
      <w:pPr>
        <w:spacing w:after="0" w:line="240" w:lineRule="auto"/>
        <w:rPr>
          <w:rFonts w:ascii="Bliss 2 Light" w:hAnsi="Bliss 2 Light"/>
          <w:sz w:val="24"/>
          <w:szCs w:val="24"/>
        </w:rPr>
      </w:pPr>
    </w:p>
    <w:p w14:paraId="432529A9" w14:textId="77B2CAE6" w:rsidR="00425039" w:rsidRDefault="000C3A98" w:rsidP="009B3FAD">
      <w:pPr>
        <w:spacing w:after="0" w:line="240" w:lineRule="auto"/>
        <w:rPr>
          <w:rFonts w:ascii="Bliss 2 Light" w:hAnsi="Bliss 2 Light"/>
          <w:sz w:val="24"/>
          <w:szCs w:val="24"/>
        </w:rPr>
      </w:pPr>
      <w:r>
        <w:rPr>
          <w:rFonts w:ascii="Bliss 2 Light" w:hAnsi="Bliss 2 Light"/>
          <w:sz w:val="24"/>
          <w:szCs w:val="24"/>
        </w:rPr>
        <w:t>I hope this background is helpful, practices with further queries can contact their Data Protection Officer, or the LMC Office.</w:t>
      </w:r>
    </w:p>
    <w:p w14:paraId="61F1AF82" w14:textId="0FE70391" w:rsidR="00425039" w:rsidRDefault="00425039" w:rsidP="009B3FAD">
      <w:pPr>
        <w:spacing w:after="0" w:line="240" w:lineRule="auto"/>
        <w:rPr>
          <w:rFonts w:ascii="Bliss 2 Light" w:hAnsi="Bliss 2 Light"/>
          <w:sz w:val="24"/>
          <w:szCs w:val="24"/>
        </w:rPr>
      </w:pPr>
    </w:p>
    <w:p w14:paraId="00A36E81" w14:textId="77777777" w:rsidR="009B3FAD" w:rsidRDefault="009B3FAD" w:rsidP="009B3FAD">
      <w:pPr>
        <w:spacing w:after="0" w:line="240" w:lineRule="auto"/>
        <w:rPr>
          <w:rFonts w:ascii="Bliss 2 Light" w:hAnsi="Bliss 2 Light"/>
          <w:sz w:val="24"/>
          <w:szCs w:val="24"/>
        </w:rPr>
      </w:pPr>
      <w:r>
        <w:rPr>
          <w:rFonts w:ascii="Bliss 2 Light" w:hAnsi="Bliss 2 Light"/>
          <w:sz w:val="24"/>
          <w:szCs w:val="24"/>
        </w:rPr>
        <w:t>With best wishes</w:t>
      </w:r>
    </w:p>
    <w:p w14:paraId="18D2FE31" w14:textId="77777777" w:rsidR="009B3FAD" w:rsidRDefault="009B3FAD" w:rsidP="009B3FAD">
      <w:pPr>
        <w:spacing w:after="0" w:line="240" w:lineRule="auto"/>
        <w:rPr>
          <w:rFonts w:ascii="Bliss 2 Light" w:hAnsi="Bliss 2 Light"/>
          <w:sz w:val="24"/>
          <w:szCs w:val="24"/>
        </w:rPr>
      </w:pPr>
      <w:r>
        <w:rPr>
          <w:noProof/>
          <w:lang w:eastAsia="en-GB"/>
        </w:rPr>
        <w:drawing>
          <wp:inline distT="0" distB="0" distL="0" distR="0" wp14:anchorId="59D5C727" wp14:editId="79461402">
            <wp:extent cx="1462035" cy="583531"/>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38750"/>
                    <a:stretch/>
                  </pic:blipFill>
                  <pic:spPr bwMode="auto">
                    <a:xfrm>
                      <a:off x="0" y="0"/>
                      <a:ext cx="1493338" cy="596025"/>
                    </a:xfrm>
                    <a:prstGeom prst="rect">
                      <a:avLst/>
                    </a:prstGeom>
                    <a:noFill/>
                    <a:ln>
                      <a:noFill/>
                    </a:ln>
                    <a:extLst>
                      <a:ext uri="{53640926-AAD7-44D8-BBD7-CCE9431645EC}">
                        <a14:shadowObscured xmlns:a14="http://schemas.microsoft.com/office/drawing/2010/main"/>
                      </a:ext>
                    </a:extLst>
                  </pic:spPr>
                </pic:pic>
              </a:graphicData>
            </a:graphic>
          </wp:inline>
        </w:drawing>
      </w:r>
    </w:p>
    <w:p w14:paraId="716E6189" w14:textId="77777777" w:rsidR="009B3FAD" w:rsidRDefault="009B3FAD" w:rsidP="009B3FAD">
      <w:pPr>
        <w:spacing w:after="0" w:line="240" w:lineRule="auto"/>
        <w:rPr>
          <w:rFonts w:ascii="Bliss 2 Light" w:hAnsi="Bliss 2 Light"/>
          <w:sz w:val="24"/>
          <w:szCs w:val="24"/>
        </w:rPr>
      </w:pPr>
      <w:r>
        <w:rPr>
          <w:rFonts w:ascii="Bliss 2 Light" w:hAnsi="Bliss 2 Light"/>
          <w:sz w:val="24"/>
          <w:szCs w:val="24"/>
        </w:rPr>
        <w:t>Dr Julius Parker</w:t>
      </w:r>
    </w:p>
    <w:p w14:paraId="0C5B17AA" w14:textId="4F731880" w:rsidR="00FE2DFD" w:rsidRPr="009B3FAD" w:rsidRDefault="009B3FAD" w:rsidP="009B3FAD">
      <w:pPr>
        <w:spacing w:after="0" w:line="240" w:lineRule="auto"/>
        <w:rPr>
          <w:rFonts w:ascii="Bliss 2 Light" w:hAnsi="Bliss 2 Light"/>
          <w:b/>
          <w:bCs/>
          <w:sz w:val="24"/>
          <w:szCs w:val="24"/>
        </w:rPr>
      </w:pPr>
      <w:r>
        <w:rPr>
          <w:rFonts w:ascii="Bliss 2 Light" w:hAnsi="Bliss 2 Light"/>
          <w:b/>
          <w:bCs/>
          <w:sz w:val="24"/>
          <w:szCs w:val="24"/>
        </w:rPr>
        <w:t>Chief Executive</w:t>
      </w:r>
    </w:p>
    <w:p w14:paraId="35959395" w14:textId="464B79FE" w:rsidR="00FE2DFD" w:rsidRDefault="00FE2DFD" w:rsidP="00FE2DFD"/>
    <w:p w14:paraId="5893EE52" w14:textId="3E2AB2F4" w:rsidR="00FE2DFD" w:rsidRDefault="00FE2DFD" w:rsidP="00FE2DFD">
      <w:pPr>
        <w:ind w:firstLine="720"/>
      </w:pPr>
    </w:p>
    <w:p w14:paraId="07201B74" w14:textId="75C9D853" w:rsidR="00FE2DFD" w:rsidRDefault="00FE2DFD" w:rsidP="00FE2DFD">
      <w:pPr>
        <w:ind w:firstLine="720"/>
      </w:pPr>
    </w:p>
    <w:p w14:paraId="16F9391C" w14:textId="5BC5BE6C" w:rsidR="00FE2DFD" w:rsidRPr="00FE2DFD" w:rsidRDefault="00FE2DFD" w:rsidP="008F4720"/>
    <w:sectPr w:rsidR="00FE2DFD" w:rsidRPr="00FE2DFD" w:rsidSect="009B3FAD">
      <w:headerReference w:type="first" r:id="rId15"/>
      <w:footerReference w:type="first" r:id="rId16"/>
      <w:pgSz w:w="11906" w:h="16838"/>
      <w:pgMar w:top="1440" w:right="991" w:bottom="851" w:left="156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D5D80" w14:textId="77777777" w:rsidR="006A7BB1" w:rsidRDefault="006A7BB1" w:rsidP="00D01AA4">
      <w:pPr>
        <w:spacing w:after="0" w:line="240" w:lineRule="auto"/>
      </w:pPr>
      <w:r>
        <w:separator/>
      </w:r>
    </w:p>
  </w:endnote>
  <w:endnote w:type="continuationSeparator" w:id="0">
    <w:p w14:paraId="2A523209" w14:textId="77777777" w:rsidR="006A7BB1" w:rsidRDefault="006A7BB1" w:rsidP="00D0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 2 Light">
    <w:altName w:val="Calibri"/>
    <w:panose1 w:val="02000506030000020004"/>
    <w:charset w:val="00"/>
    <w:family w:val="modern"/>
    <w:notTrueType/>
    <w:pitch w:val="variable"/>
    <w:sig w:usb0="A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559"/>
      <w:gridCol w:w="1863"/>
    </w:tblGrid>
    <w:tr w:rsidR="00D01AA4" w:rsidRPr="00D01AA4" w14:paraId="4591D33E" w14:textId="77777777" w:rsidTr="00CE61DA">
      <w:tc>
        <w:tcPr>
          <w:tcW w:w="7230" w:type="dxa"/>
        </w:tcPr>
        <w:p w14:paraId="405E5676" w14:textId="77777777" w:rsidR="00D01AA4" w:rsidRPr="00D01AA4" w:rsidRDefault="00D01AA4">
          <w:pPr>
            <w:pStyle w:val="Footer"/>
            <w:rPr>
              <w:color w:val="808080" w:themeColor="background1" w:themeShade="80"/>
              <w:sz w:val="18"/>
              <w:szCs w:val="18"/>
            </w:rPr>
          </w:pPr>
        </w:p>
      </w:tc>
      <w:tc>
        <w:tcPr>
          <w:tcW w:w="3422" w:type="dxa"/>
          <w:gridSpan w:val="2"/>
        </w:tcPr>
        <w:p w14:paraId="49E6F4C7" w14:textId="5DB69426"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Local Medical Committees for</w:t>
          </w:r>
        </w:p>
        <w:p w14:paraId="4F028693" w14:textId="7777777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Croydon, Kingston &amp; Richmond, Surrey, East Sussex and West Sussex</w:t>
          </w:r>
        </w:p>
        <w:p w14:paraId="63DD8DB2" w14:textId="358F2170" w:rsidR="00D01AA4" w:rsidRPr="00D01AA4" w:rsidRDefault="00D01AA4">
          <w:pPr>
            <w:pStyle w:val="Footer"/>
            <w:rPr>
              <w:color w:val="808080" w:themeColor="background1" w:themeShade="80"/>
              <w:sz w:val="18"/>
              <w:szCs w:val="18"/>
            </w:rPr>
          </w:pPr>
        </w:p>
      </w:tc>
    </w:tr>
    <w:tr w:rsidR="00D01AA4" w:rsidRPr="00D01AA4" w14:paraId="707DC5E9" w14:textId="77777777" w:rsidTr="00CE61DA">
      <w:tc>
        <w:tcPr>
          <w:tcW w:w="7230" w:type="dxa"/>
        </w:tcPr>
        <w:p w14:paraId="58D08A79" w14:textId="77777777" w:rsidR="00D01AA4" w:rsidRPr="00D01AA4" w:rsidRDefault="00D01AA4">
          <w:pPr>
            <w:pStyle w:val="Footer"/>
            <w:rPr>
              <w:color w:val="808080" w:themeColor="background1" w:themeShade="80"/>
              <w:sz w:val="18"/>
              <w:szCs w:val="18"/>
            </w:rPr>
          </w:pPr>
        </w:p>
      </w:tc>
      <w:tc>
        <w:tcPr>
          <w:tcW w:w="1559" w:type="dxa"/>
        </w:tcPr>
        <w:p w14:paraId="0984560E" w14:textId="7E27D2D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The White House</w:t>
          </w:r>
        </w:p>
        <w:p w14:paraId="5C982935" w14:textId="7777777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18 Church Road</w:t>
          </w:r>
        </w:p>
        <w:p w14:paraId="20E201DF" w14:textId="7777777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Leatherhead</w:t>
          </w:r>
        </w:p>
        <w:p w14:paraId="125C9AC6" w14:textId="32627133"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Surrey KT22 8BB</w:t>
          </w:r>
        </w:p>
      </w:tc>
      <w:tc>
        <w:tcPr>
          <w:tcW w:w="1863" w:type="dxa"/>
        </w:tcPr>
        <w:p w14:paraId="23F01EEF" w14:textId="77777777" w:rsidR="00D01AA4" w:rsidRPr="00D01AA4" w:rsidRDefault="00D01AA4">
          <w:pPr>
            <w:pStyle w:val="Footer"/>
            <w:rPr>
              <w:color w:val="808080" w:themeColor="background1" w:themeShade="80"/>
              <w:sz w:val="18"/>
              <w:szCs w:val="18"/>
            </w:rPr>
          </w:pPr>
          <w:r w:rsidRPr="00D01AA4">
            <w:rPr>
              <w:b/>
              <w:bCs/>
              <w:color w:val="808080" w:themeColor="background1" w:themeShade="80"/>
              <w:sz w:val="18"/>
              <w:szCs w:val="18"/>
            </w:rPr>
            <w:t>T:</w:t>
          </w:r>
          <w:r w:rsidRPr="00D01AA4">
            <w:rPr>
              <w:color w:val="808080" w:themeColor="background1" w:themeShade="80"/>
              <w:sz w:val="18"/>
              <w:szCs w:val="18"/>
            </w:rPr>
            <w:t xml:space="preserve"> 01372 389270</w:t>
          </w:r>
        </w:p>
        <w:p w14:paraId="478AAED4" w14:textId="77777777" w:rsidR="00D01AA4" w:rsidRPr="00D01AA4" w:rsidRDefault="00D01AA4">
          <w:pPr>
            <w:pStyle w:val="Footer"/>
            <w:rPr>
              <w:color w:val="808080" w:themeColor="background1" w:themeShade="80"/>
              <w:sz w:val="18"/>
              <w:szCs w:val="18"/>
            </w:rPr>
          </w:pPr>
          <w:r w:rsidRPr="00D01AA4">
            <w:rPr>
              <w:b/>
              <w:bCs/>
              <w:color w:val="808080" w:themeColor="background1" w:themeShade="80"/>
              <w:sz w:val="18"/>
              <w:szCs w:val="18"/>
            </w:rPr>
            <w:t>F:</w:t>
          </w:r>
          <w:r w:rsidRPr="00D01AA4">
            <w:rPr>
              <w:color w:val="808080" w:themeColor="background1" w:themeShade="80"/>
              <w:sz w:val="18"/>
              <w:szCs w:val="18"/>
            </w:rPr>
            <w:t xml:space="preserve"> 01372 389271</w:t>
          </w:r>
        </w:p>
        <w:p w14:paraId="7BF5D2CB" w14:textId="77777777" w:rsidR="00D01AA4" w:rsidRPr="00D01AA4" w:rsidRDefault="00D01AA4">
          <w:pPr>
            <w:pStyle w:val="Footer"/>
            <w:rPr>
              <w:color w:val="808080" w:themeColor="background1" w:themeShade="80"/>
              <w:sz w:val="18"/>
              <w:szCs w:val="18"/>
            </w:rPr>
          </w:pPr>
        </w:p>
        <w:p w14:paraId="05AA474B" w14:textId="704A3071" w:rsidR="00D01AA4" w:rsidRPr="00D01AA4" w:rsidRDefault="00D01AA4">
          <w:pPr>
            <w:pStyle w:val="Footer"/>
            <w:rPr>
              <w:b/>
              <w:bCs/>
              <w:color w:val="808080" w:themeColor="background1" w:themeShade="80"/>
              <w:sz w:val="18"/>
              <w:szCs w:val="18"/>
            </w:rPr>
          </w:pPr>
          <w:r w:rsidRPr="00D01AA4">
            <w:rPr>
              <w:b/>
              <w:bCs/>
              <w:color w:val="808080" w:themeColor="background1" w:themeShade="80"/>
              <w:sz w:val="18"/>
              <w:szCs w:val="18"/>
            </w:rPr>
            <w:t>www.sslmcs.co.uk</w:t>
          </w:r>
        </w:p>
      </w:tc>
    </w:tr>
    <w:tr w:rsidR="00D01AA4" w:rsidRPr="00D01AA4" w14:paraId="14E8EC44" w14:textId="77777777" w:rsidTr="00CE61DA">
      <w:tc>
        <w:tcPr>
          <w:tcW w:w="7230" w:type="dxa"/>
        </w:tcPr>
        <w:p w14:paraId="134A2740" w14:textId="77777777" w:rsidR="00D01AA4" w:rsidRDefault="00D01AA4">
          <w:pPr>
            <w:pStyle w:val="Footer"/>
            <w:rPr>
              <w:color w:val="808080" w:themeColor="background1" w:themeShade="80"/>
              <w:sz w:val="18"/>
              <w:szCs w:val="18"/>
            </w:rPr>
          </w:pPr>
        </w:p>
        <w:p w14:paraId="39AB45FC" w14:textId="33E714C0" w:rsidR="00D01AA4" w:rsidRPr="00D01AA4" w:rsidRDefault="00D01AA4">
          <w:pPr>
            <w:pStyle w:val="Footer"/>
            <w:rPr>
              <w:color w:val="009999"/>
              <w:sz w:val="18"/>
              <w:szCs w:val="18"/>
              <w14:textFill>
                <w14:solidFill>
                  <w14:srgbClr w14:val="009999">
                    <w14:lumMod w14:val="50000"/>
                  </w14:srgbClr>
                </w14:solidFill>
              </w14:textFill>
            </w:rPr>
          </w:pPr>
          <w:r w:rsidRPr="00D01AA4">
            <w:rPr>
              <w:color w:val="009999"/>
              <w:sz w:val="18"/>
              <w:szCs w:val="18"/>
              <w14:textFill>
                <w14:solidFill>
                  <w14:srgbClr w14:val="009999">
                    <w14:lumMod w14:val="50000"/>
                  </w14:srgbClr>
                </w14:solidFill>
              </w14:textFill>
            </w:rPr>
            <w:t>Supporting and Representing all local NHS General Practitioners</w:t>
          </w:r>
        </w:p>
      </w:tc>
      <w:tc>
        <w:tcPr>
          <w:tcW w:w="3422" w:type="dxa"/>
          <w:gridSpan w:val="2"/>
        </w:tcPr>
        <w:p w14:paraId="2653D009" w14:textId="535D3446" w:rsidR="00D01AA4" w:rsidRPr="00D01AA4" w:rsidRDefault="00D01AA4">
          <w:pPr>
            <w:pStyle w:val="Footer"/>
            <w:rPr>
              <w:color w:val="808080" w:themeColor="background1" w:themeShade="80"/>
              <w:sz w:val="18"/>
              <w:szCs w:val="18"/>
            </w:rPr>
          </w:pPr>
        </w:p>
        <w:p w14:paraId="123EF926" w14:textId="0B0E3BC1" w:rsidR="00D01AA4" w:rsidRPr="00D01AA4" w:rsidRDefault="00D01AA4">
          <w:pPr>
            <w:pStyle w:val="Footer"/>
            <w:rPr>
              <w:b/>
              <w:bCs/>
              <w:color w:val="808080" w:themeColor="background1" w:themeShade="80"/>
              <w:sz w:val="18"/>
              <w:szCs w:val="18"/>
            </w:rPr>
          </w:pPr>
          <w:r w:rsidRPr="00D01AA4">
            <w:rPr>
              <w:b/>
              <w:bCs/>
              <w:color w:val="808080" w:themeColor="background1" w:themeShade="80"/>
              <w:sz w:val="18"/>
              <w:szCs w:val="18"/>
            </w:rPr>
            <w:t>Chief Executive: Dr Julius Parker</w:t>
          </w:r>
        </w:p>
      </w:tc>
    </w:tr>
  </w:tbl>
  <w:p w14:paraId="3BB4D368" w14:textId="77777777" w:rsidR="00D01AA4" w:rsidRDefault="00D01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6825A" w14:textId="77777777" w:rsidR="006A7BB1" w:rsidRDefault="006A7BB1" w:rsidP="00D01AA4">
      <w:pPr>
        <w:spacing w:after="0" w:line="240" w:lineRule="auto"/>
      </w:pPr>
      <w:r>
        <w:separator/>
      </w:r>
    </w:p>
  </w:footnote>
  <w:footnote w:type="continuationSeparator" w:id="0">
    <w:p w14:paraId="31E7CDA7" w14:textId="77777777" w:rsidR="006A7BB1" w:rsidRDefault="006A7BB1" w:rsidP="00D01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3E59" w14:textId="0083947D" w:rsidR="00D01AA4" w:rsidRDefault="00D01AA4">
    <w:pPr>
      <w:pStyle w:val="Header"/>
    </w:pPr>
    <w:r>
      <w:rPr>
        <w:noProof/>
        <w:lang w:eastAsia="en-GB"/>
      </w:rPr>
      <w:drawing>
        <wp:anchor distT="0" distB="0" distL="114300" distR="114300" simplePos="0" relativeHeight="251658240" behindDoc="1" locked="0" layoutInCell="1" allowOverlap="1" wp14:anchorId="52E41CDB" wp14:editId="75246ADB">
          <wp:simplePos x="0" y="0"/>
          <wp:positionH relativeFrom="column">
            <wp:posOffset>4114800</wp:posOffset>
          </wp:positionH>
          <wp:positionV relativeFrom="paragraph">
            <wp:posOffset>-116205</wp:posOffset>
          </wp:positionV>
          <wp:extent cx="2200275" cy="800100"/>
          <wp:effectExtent l="0" t="0" r="9525" b="0"/>
          <wp:wrapSquare wrapText="bothSides"/>
          <wp:docPr id="30" name="Picture 3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A53"/>
    <w:multiLevelType w:val="hybridMultilevel"/>
    <w:tmpl w:val="A89AA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70F58"/>
    <w:multiLevelType w:val="hybridMultilevel"/>
    <w:tmpl w:val="8EC487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73F15"/>
    <w:multiLevelType w:val="hybridMultilevel"/>
    <w:tmpl w:val="48EAB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F8B6259"/>
    <w:multiLevelType w:val="hybridMultilevel"/>
    <w:tmpl w:val="52D078F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0B1BB8"/>
    <w:multiLevelType w:val="hybridMultilevel"/>
    <w:tmpl w:val="3B442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2A154B"/>
    <w:multiLevelType w:val="hybridMultilevel"/>
    <w:tmpl w:val="3F9818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AE076F"/>
    <w:multiLevelType w:val="hybridMultilevel"/>
    <w:tmpl w:val="CAA0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CF5911"/>
    <w:multiLevelType w:val="hybridMultilevel"/>
    <w:tmpl w:val="9B98B908"/>
    <w:lvl w:ilvl="0" w:tplc="1FBCC96E">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95367C"/>
    <w:multiLevelType w:val="hybridMultilevel"/>
    <w:tmpl w:val="18D04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B77A2E"/>
    <w:multiLevelType w:val="hybridMultilevel"/>
    <w:tmpl w:val="A89AA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AA5D5E"/>
    <w:multiLevelType w:val="hybridMultilevel"/>
    <w:tmpl w:val="58728E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0B04FEA"/>
    <w:multiLevelType w:val="hybridMultilevel"/>
    <w:tmpl w:val="359E65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1B74DB9"/>
    <w:multiLevelType w:val="hybridMultilevel"/>
    <w:tmpl w:val="D472A6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0"/>
  </w:num>
  <w:num w:numId="4">
    <w:abstractNumId w:val="10"/>
  </w:num>
  <w:num w:numId="5">
    <w:abstractNumId w:val="12"/>
  </w:num>
  <w:num w:numId="6">
    <w:abstractNumId w:val="2"/>
  </w:num>
  <w:num w:numId="7">
    <w:abstractNumId w:val="1"/>
  </w:num>
  <w:num w:numId="8">
    <w:abstractNumId w:val="5"/>
  </w:num>
  <w:num w:numId="9">
    <w:abstractNumId w:val="9"/>
  </w:num>
  <w:num w:numId="10">
    <w:abstractNumId w:val="4"/>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A4"/>
    <w:rsid w:val="00063AFB"/>
    <w:rsid w:val="00077760"/>
    <w:rsid w:val="000C27C0"/>
    <w:rsid w:val="000C3A98"/>
    <w:rsid w:val="001073BA"/>
    <w:rsid w:val="00151F11"/>
    <w:rsid w:val="002060F3"/>
    <w:rsid w:val="00363725"/>
    <w:rsid w:val="00365F37"/>
    <w:rsid w:val="00425039"/>
    <w:rsid w:val="00466BAB"/>
    <w:rsid w:val="00491EEB"/>
    <w:rsid w:val="004C29B3"/>
    <w:rsid w:val="004F1BEC"/>
    <w:rsid w:val="00572C63"/>
    <w:rsid w:val="006A7BB1"/>
    <w:rsid w:val="00755493"/>
    <w:rsid w:val="0085042B"/>
    <w:rsid w:val="0085248E"/>
    <w:rsid w:val="008772B8"/>
    <w:rsid w:val="00896DC2"/>
    <w:rsid w:val="008F4720"/>
    <w:rsid w:val="009B3FAD"/>
    <w:rsid w:val="00AA79AB"/>
    <w:rsid w:val="00AD2A13"/>
    <w:rsid w:val="00B0218B"/>
    <w:rsid w:val="00BE5D4A"/>
    <w:rsid w:val="00CB2D0A"/>
    <w:rsid w:val="00CE61DA"/>
    <w:rsid w:val="00D01AA4"/>
    <w:rsid w:val="00E45794"/>
    <w:rsid w:val="00E970EE"/>
    <w:rsid w:val="00EF10FE"/>
    <w:rsid w:val="00F37BE6"/>
    <w:rsid w:val="00F50628"/>
    <w:rsid w:val="00FA713F"/>
    <w:rsid w:val="00FB62BB"/>
    <w:rsid w:val="00FE2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2C8A8"/>
  <w15:chartTrackingRefBased/>
  <w15:docId w15:val="{8BF55B56-3010-4BD3-A1E1-059A9489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FAD"/>
  </w:style>
  <w:style w:type="paragraph" w:styleId="Heading2">
    <w:name w:val="heading 2"/>
    <w:basedOn w:val="Normal"/>
    <w:link w:val="Heading2Char"/>
    <w:uiPriority w:val="9"/>
    <w:qFormat/>
    <w:rsid w:val="00572C6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AA4"/>
  </w:style>
  <w:style w:type="paragraph" w:styleId="Footer">
    <w:name w:val="footer"/>
    <w:basedOn w:val="Normal"/>
    <w:link w:val="FooterChar"/>
    <w:uiPriority w:val="99"/>
    <w:unhideWhenUsed/>
    <w:rsid w:val="00D01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AA4"/>
  </w:style>
  <w:style w:type="table" w:styleId="TableGrid">
    <w:name w:val="Table Grid"/>
    <w:basedOn w:val="TableNormal"/>
    <w:uiPriority w:val="39"/>
    <w:rsid w:val="00D01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6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572C63"/>
    <w:rPr>
      <w:color w:val="0000FF"/>
      <w:u w:val="single"/>
    </w:rPr>
  </w:style>
  <w:style w:type="character" w:customStyle="1" w:styleId="bmdetailsoverlay">
    <w:name w:val="bm_details_overlay"/>
    <w:basedOn w:val="DefaultParagraphFont"/>
    <w:rsid w:val="00572C63"/>
  </w:style>
  <w:style w:type="paragraph" w:styleId="ListParagraph">
    <w:name w:val="List Paragraph"/>
    <w:basedOn w:val="Normal"/>
    <w:uiPriority w:val="34"/>
    <w:qFormat/>
    <w:rsid w:val="00151F11"/>
    <w:pPr>
      <w:ind w:left="720"/>
      <w:contextualSpacing/>
    </w:pPr>
  </w:style>
  <w:style w:type="character" w:styleId="UnresolvedMention">
    <w:name w:val="Unresolved Mention"/>
    <w:basedOn w:val="DefaultParagraphFont"/>
    <w:uiPriority w:val="99"/>
    <w:semiHidden/>
    <w:unhideWhenUsed/>
    <w:rsid w:val="004F1BEC"/>
    <w:rPr>
      <w:color w:val="605E5C"/>
      <w:shd w:val="clear" w:color="auto" w:fill="E1DFDD"/>
    </w:rPr>
  </w:style>
  <w:style w:type="character" w:styleId="FollowedHyperlink">
    <w:name w:val="FollowedHyperlink"/>
    <w:basedOn w:val="DefaultParagraphFont"/>
    <w:uiPriority w:val="99"/>
    <w:semiHidden/>
    <w:unhideWhenUsed/>
    <w:rsid w:val="004F1B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907609">
      <w:bodyDiv w:val="1"/>
      <w:marLeft w:val="0"/>
      <w:marRight w:val="0"/>
      <w:marTop w:val="0"/>
      <w:marBottom w:val="0"/>
      <w:divBdr>
        <w:top w:val="none" w:sz="0" w:space="0" w:color="auto"/>
        <w:left w:val="none" w:sz="0" w:space="0" w:color="auto"/>
        <w:bottom w:val="none" w:sz="0" w:space="0" w:color="auto"/>
        <w:right w:val="none" w:sz="0" w:space="0" w:color="auto"/>
      </w:divBdr>
    </w:div>
    <w:div w:id="1347245910">
      <w:bodyDiv w:val="1"/>
      <w:marLeft w:val="0"/>
      <w:marRight w:val="0"/>
      <w:marTop w:val="0"/>
      <w:marBottom w:val="0"/>
      <w:divBdr>
        <w:top w:val="none" w:sz="0" w:space="0" w:color="auto"/>
        <w:left w:val="none" w:sz="0" w:space="0" w:color="auto"/>
        <w:bottom w:val="none" w:sz="0" w:space="0" w:color="auto"/>
        <w:right w:val="none" w:sz="0" w:space="0" w:color="auto"/>
      </w:divBdr>
      <w:divsChild>
        <w:div w:id="1697005938">
          <w:marLeft w:val="0"/>
          <w:marRight w:val="0"/>
          <w:marTop w:val="0"/>
          <w:marBottom w:val="0"/>
          <w:divBdr>
            <w:top w:val="none" w:sz="0" w:space="0" w:color="auto"/>
            <w:left w:val="none" w:sz="0" w:space="0" w:color="auto"/>
            <w:bottom w:val="none" w:sz="0" w:space="0" w:color="auto"/>
            <w:right w:val="none" w:sz="0" w:space="0" w:color="auto"/>
          </w:divBdr>
        </w:div>
      </w:divsChild>
    </w:div>
    <w:div w:id="193635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data-collections-and-data-sets/data-collections/general-practice-data-for-planning-and-research" TargetMode="External"/><Relationship Id="rId13" Type="http://schemas.openxmlformats.org/officeDocument/2006/relationships/hyperlink" Target="https://www.bma.org.uk/news-and-opinion/statement-on-gp-data-for-planning-and-resear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data-and-information/data-collections-and-data-sets/data-collections/general-practice-data-for-planning-and-research/gp-privacy-noti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igital.nhs.uk/binaries/content/assets/website-assets/corporate-information/directions-and-data-provision-notices/data-provision-notices/general-practice-data-for-planning-and-research-dpn-v1.0.pdf" TargetMode="External"/><Relationship Id="rId4" Type="http://schemas.openxmlformats.org/officeDocument/2006/relationships/settings" Target="settings.xml"/><Relationship Id="rId9" Type="http://schemas.openxmlformats.org/officeDocument/2006/relationships/hyperlink" Target="https://digital.nhs.uk/services/national-data-opt-out" TargetMode="Externa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Parsons\Dropbox%20(SSLMCs)\Company%20Shared%20Folder\PM%20Liaison%20Officer\06.%20Practice%20Manager%20Guidance%20&amp;%20Useful%20Information\LM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51380-F255-4DE3-AD2E-94203D480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LMC letterhead</Template>
  <TotalTime>1</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Parsons</dc:creator>
  <cp:keywords/>
  <dc:description/>
  <cp:lastModifiedBy>Marianne Pumphrey</cp:lastModifiedBy>
  <cp:revision>2</cp:revision>
  <cp:lastPrinted>2021-05-19T13:16:00Z</cp:lastPrinted>
  <dcterms:created xsi:type="dcterms:W3CDTF">2021-05-19T13:22:00Z</dcterms:created>
  <dcterms:modified xsi:type="dcterms:W3CDTF">2021-05-19T13:22:00Z</dcterms:modified>
</cp:coreProperties>
</file>