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D903D" w14:textId="77777777" w:rsidR="004B4EC0" w:rsidRDefault="004B4EC0" w:rsidP="008A084B">
      <w:pPr>
        <w:jc w:val="center"/>
        <w:rPr>
          <w:rFonts w:asciiTheme="minorHAnsi" w:hAnsiTheme="minorHAnsi" w:cstheme="minorHAnsi"/>
          <w:b/>
          <w:bCs/>
          <w:sz w:val="36"/>
          <w:szCs w:val="36"/>
        </w:rPr>
      </w:pPr>
    </w:p>
    <w:p w14:paraId="14211C6C" w14:textId="0CACB885" w:rsidR="008A084B" w:rsidRPr="009D337C" w:rsidRDefault="008A084B" w:rsidP="008A084B">
      <w:pPr>
        <w:jc w:val="center"/>
        <w:rPr>
          <w:rFonts w:asciiTheme="minorHAnsi" w:hAnsiTheme="minorHAnsi" w:cstheme="minorHAnsi"/>
          <w:b/>
          <w:bCs/>
          <w:sz w:val="36"/>
          <w:szCs w:val="36"/>
        </w:rPr>
      </w:pPr>
      <w:r w:rsidRPr="009D337C">
        <w:rPr>
          <w:rFonts w:asciiTheme="minorHAnsi" w:hAnsiTheme="minorHAnsi" w:cstheme="minorHAnsi"/>
          <w:b/>
          <w:bCs/>
          <w:sz w:val="36"/>
          <w:szCs w:val="36"/>
        </w:rPr>
        <w:t xml:space="preserve">Seasonal Flu Planning Guide </w:t>
      </w:r>
      <w:r w:rsidR="00A50958">
        <w:rPr>
          <w:rFonts w:asciiTheme="minorHAnsi" w:hAnsiTheme="minorHAnsi" w:cstheme="minorHAnsi"/>
          <w:b/>
          <w:bCs/>
          <w:sz w:val="36"/>
          <w:szCs w:val="36"/>
        </w:rPr>
        <w:t>3</w:t>
      </w:r>
    </w:p>
    <w:p w14:paraId="554C1082" w14:textId="77777777" w:rsidR="008A084B" w:rsidRPr="009D337C" w:rsidRDefault="008A084B" w:rsidP="008A084B">
      <w:pPr>
        <w:rPr>
          <w:rFonts w:asciiTheme="minorHAnsi" w:hAnsiTheme="minorHAnsi" w:cstheme="minorHAnsi"/>
          <w:b/>
          <w:bCs/>
        </w:rPr>
      </w:pPr>
    </w:p>
    <w:p w14:paraId="62222AAF" w14:textId="77777777" w:rsidR="008A084B" w:rsidRPr="009D337C" w:rsidRDefault="008A084B" w:rsidP="008A084B">
      <w:pPr>
        <w:rPr>
          <w:rFonts w:asciiTheme="minorHAnsi" w:hAnsiTheme="minorHAnsi" w:cstheme="minorHAnsi"/>
          <w:b/>
          <w:bCs/>
        </w:rPr>
      </w:pPr>
      <w:r w:rsidRPr="009D337C">
        <w:rPr>
          <w:rFonts w:asciiTheme="minorHAnsi" w:hAnsiTheme="minorHAnsi" w:cstheme="minorHAnsi"/>
          <w:b/>
          <w:bCs/>
        </w:rPr>
        <w:t>INTRODUCTION</w:t>
      </w:r>
    </w:p>
    <w:p w14:paraId="4EE41A7D" w14:textId="3CF99EC1" w:rsidR="008A084B" w:rsidRPr="009D337C" w:rsidRDefault="008A084B" w:rsidP="008A084B">
      <w:pPr>
        <w:rPr>
          <w:rFonts w:asciiTheme="minorHAnsi" w:hAnsiTheme="minorHAnsi" w:cstheme="minorHAnsi"/>
        </w:rPr>
      </w:pPr>
      <w:r w:rsidRPr="009D337C">
        <w:rPr>
          <w:rFonts w:asciiTheme="minorHAnsi" w:hAnsiTheme="minorHAnsi" w:cstheme="minorHAnsi"/>
        </w:rPr>
        <w:t xml:space="preserve">This guide has been produced to assist practices when planning the operational aspects of their FLU delivery programme 2020/21 and is a supplementary update to </w:t>
      </w:r>
      <w:hyperlink r:id="rId8" w:history="1">
        <w:r w:rsidRPr="009D337C">
          <w:rPr>
            <w:rStyle w:val="Hyperlink"/>
            <w:rFonts w:asciiTheme="minorHAnsi" w:hAnsiTheme="minorHAnsi" w:cstheme="minorHAnsi"/>
          </w:rPr>
          <w:t xml:space="preserve">version 1 issued </w:t>
        </w:r>
        <w:r w:rsidR="00D85177" w:rsidRPr="009D337C">
          <w:rPr>
            <w:rStyle w:val="Hyperlink"/>
            <w:rFonts w:asciiTheme="minorHAnsi" w:hAnsiTheme="minorHAnsi" w:cstheme="minorHAnsi"/>
          </w:rPr>
          <w:t>6</w:t>
        </w:r>
        <w:r w:rsidR="00D85177" w:rsidRPr="009D337C">
          <w:rPr>
            <w:rStyle w:val="Hyperlink"/>
            <w:rFonts w:asciiTheme="minorHAnsi" w:hAnsiTheme="minorHAnsi" w:cstheme="minorHAnsi"/>
            <w:vertAlign w:val="superscript"/>
          </w:rPr>
          <w:t>th</w:t>
        </w:r>
        <w:r w:rsidR="00D85177" w:rsidRPr="009D337C">
          <w:rPr>
            <w:rStyle w:val="Hyperlink"/>
            <w:rFonts w:asciiTheme="minorHAnsi" w:hAnsiTheme="minorHAnsi" w:cstheme="minorHAnsi"/>
          </w:rPr>
          <w:t xml:space="preserve"> August 2020</w:t>
        </w:r>
      </w:hyperlink>
      <w:r w:rsidR="00A50958">
        <w:rPr>
          <w:rFonts w:asciiTheme="minorHAnsi" w:hAnsiTheme="minorHAnsi" w:cstheme="minorHAnsi"/>
        </w:rPr>
        <w:t xml:space="preserve"> and </w:t>
      </w:r>
      <w:hyperlink r:id="rId9" w:history="1">
        <w:r w:rsidR="00A50958" w:rsidRPr="00A50958">
          <w:rPr>
            <w:rStyle w:val="Hyperlink"/>
            <w:rFonts w:asciiTheme="minorHAnsi" w:hAnsiTheme="minorHAnsi" w:cstheme="minorHAnsi"/>
          </w:rPr>
          <w:t>version 2 issued 25</w:t>
        </w:r>
        <w:r w:rsidR="00A50958" w:rsidRPr="00A50958">
          <w:rPr>
            <w:rStyle w:val="Hyperlink"/>
            <w:rFonts w:asciiTheme="minorHAnsi" w:hAnsiTheme="minorHAnsi" w:cstheme="minorHAnsi"/>
            <w:vertAlign w:val="superscript"/>
          </w:rPr>
          <w:t>th</w:t>
        </w:r>
        <w:r w:rsidR="00A50958" w:rsidRPr="00A50958">
          <w:rPr>
            <w:rStyle w:val="Hyperlink"/>
            <w:rFonts w:asciiTheme="minorHAnsi" w:hAnsiTheme="minorHAnsi" w:cstheme="minorHAnsi"/>
          </w:rPr>
          <w:t xml:space="preserve"> September 2020</w:t>
        </w:r>
      </w:hyperlink>
      <w:r w:rsidR="00A50958">
        <w:rPr>
          <w:rFonts w:asciiTheme="minorHAnsi" w:hAnsiTheme="minorHAnsi" w:cstheme="minorHAnsi"/>
        </w:rPr>
        <w:t>.</w:t>
      </w:r>
      <w:r w:rsidRPr="009D337C">
        <w:rPr>
          <w:rFonts w:asciiTheme="minorHAnsi" w:hAnsiTheme="minorHAnsi" w:cstheme="minorHAnsi"/>
        </w:rPr>
        <w:t xml:space="preserve"> We would encourage </w:t>
      </w:r>
      <w:r w:rsidR="00613CC9">
        <w:rPr>
          <w:rFonts w:asciiTheme="minorHAnsi" w:hAnsiTheme="minorHAnsi" w:cstheme="minorHAnsi"/>
        </w:rPr>
        <w:t>colleague</w:t>
      </w:r>
      <w:r w:rsidRPr="009D337C">
        <w:rPr>
          <w:rFonts w:asciiTheme="minorHAnsi" w:hAnsiTheme="minorHAnsi" w:cstheme="minorHAnsi"/>
        </w:rPr>
        <w:t xml:space="preserve">s to read the </w:t>
      </w:r>
      <w:r w:rsidR="00A50958">
        <w:rPr>
          <w:rFonts w:asciiTheme="minorHAnsi" w:hAnsiTheme="minorHAnsi" w:cstheme="minorHAnsi"/>
        </w:rPr>
        <w:t>three</w:t>
      </w:r>
      <w:r w:rsidRPr="009D337C">
        <w:rPr>
          <w:rFonts w:asciiTheme="minorHAnsi" w:hAnsiTheme="minorHAnsi" w:cstheme="minorHAnsi"/>
        </w:rPr>
        <w:t xml:space="preserve"> documents in conjunction with each other and note additional references and reading guidance at the end of each document. </w:t>
      </w:r>
    </w:p>
    <w:p w14:paraId="656223A0" w14:textId="5A72DC86" w:rsidR="008A084B" w:rsidRDefault="008A084B" w:rsidP="008A084B">
      <w:pPr>
        <w:rPr>
          <w:rFonts w:asciiTheme="minorHAnsi" w:hAnsiTheme="minorHAnsi" w:cstheme="minorHAnsi"/>
        </w:rPr>
      </w:pPr>
      <w:r w:rsidRPr="009D337C">
        <w:rPr>
          <w:rFonts w:asciiTheme="minorHAnsi" w:hAnsiTheme="minorHAnsi" w:cstheme="minorHAnsi"/>
        </w:rPr>
        <w:t>In response to feedback</w:t>
      </w:r>
      <w:r w:rsidR="00D206E7" w:rsidRPr="009D337C">
        <w:rPr>
          <w:rFonts w:asciiTheme="minorHAnsi" w:hAnsiTheme="minorHAnsi" w:cstheme="minorHAnsi"/>
        </w:rPr>
        <w:t>,</w:t>
      </w:r>
      <w:r w:rsidRPr="009D337C">
        <w:rPr>
          <w:rFonts w:asciiTheme="minorHAnsi" w:hAnsiTheme="minorHAnsi" w:cstheme="minorHAnsi"/>
        </w:rPr>
        <w:t xml:space="preserve"> this update has been constructed </w:t>
      </w:r>
      <w:r w:rsidR="005B430A" w:rsidRPr="009D337C">
        <w:rPr>
          <w:rFonts w:asciiTheme="minorHAnsi" w:hAnsiTheme="minorHAnsi" w:cstheme="minorHAnsi"/>
        </w:rPr>
        <w:t>to</w:t>
      </w:r>
      <w:r w:rsidRPr="009D337C">
        <w:rPr>
          <w:rFonts w:asciiTheme="minorHAnsi" w:hAnsiTheme="minorHAnsi" w:cstheme="minorHAnsi"/>
        </w:rPr>
        <w:t xml:space="preserve"> relay </w:t>
      </w:r>
      <w:r w:rsidRPr="009D337C">
        <w:rPr>
          <w:rFonts w:asciiTheme="minorHAnsi" w:hAnsiTheme="minorHAnsi" w:cstheme="minorHAnsi"/>
          <w:i/>
          <w:iCs/>
        </w:rPr>
        <w:t>only</w:t>
      </w:r>
      <w:r w:rsidRPr="009D337C">
        <w:rPr>
          <w:rFonts w:asciiTheme="minorHAnsi" w:hAnsiTheme="minorHAnsi" w:cstheme="minorHAnsi"/>
        </w:rPr>
        <w:t xml:space="preserve"> information gained and received since </w:t>
      </w:r>
      <w:r w:rsidR="001964CE">
        <w:rPr>
          <w:rFonts w:asciiTheme="minorHAnsi" w:hAnsiTheme="minorHAnsi" w:cstheme="minorHAnsi"/>
        </w:rPr>
        <w:t xml:space="preserve">the release of </w:t>
      </w:r>
      <w:r w:rsidRPr="009D337C">
        <w:rPr>
          <w:rFonts w:asciiTheme="minorHAnsi" w:hAnsiTheme="minorHAnsi" w:cstheme="minorHAnsi"/>
        </w:rPr>
        <w:t xml:space="preserve">version </w:t>
      </w:r>
      <w:r w:rsidR="00A50958">
        <w:rPr>
          <w:rFonts w:asciiTheme="minorHAnsi" w:hAnsiTheme="minorHAnsi" w:cstheme="minorHAnsi"/>
        </w:rPr>
        <w:t>2</w:t>
      </w:r>
      <w:r w:rsidRPr="009D337C">
        <w:rPr>
          <w:rFonts w:asciiTheme="minorHAnsi" w:hAnsiTheme="minorHAnsi" w:cstheme="minorHAnsi"/>
        </w:rPr>
        <w:t xml:space="preserve">, so </w:t>
      </w:r>
      <w:r w:rsidR="001964CE">
        <w:rPr>
          <w:rFonts w:asciiTheme="minorHAnsi" w:hAnsiTheme="minorHAnsi" w:cstheme="minorHAnsi"/>
        </w:rPr>
        <w:t xml:space="preserve">that </w:t>
      </w:r>
      <w:r w:rsidR="00613CC9">
        <w:rPr>
          <w:rFonts w:asciiTheme="minorHAnsi" w:hAnsiTheme="minorHAnsi" w:cstheme="minorHAnsi"/>
        </w:rPr>
        <w:t>colleague</w:t>
      </w:r>
      <w:r w:rsidRPr="009D337C">
        <w:rPr>
          <w:rFonts w:asciiTheme="minorHAnsi" w:hAnsiTheme="minorHAnsi" w:cstheme="minorHAnsi"/>
        </w:rPr>
        <w:t xml:space="preserve">s can </w:t>
      </w:r>
      <w:r w:rsidR="00613CC9">
        <w:rPr>
          <w:rFonts w:asciiTheme="minorHAnsi" w:hAnsiTheme="minorHAnsi" w:cstheme="minorHAnsi"/>
        </w:rPr>
        <w:t xml:space="preserve">easily identify </w:t>
      </w:r>
      <w:r w:rsidRPr="009D337C">
        <w:rPr>
          <w:rFonts w:asciiTheme="minorHAnsi" w:hAnsiTheme="minorHAnsi" w:cstheme="minorHAnsi"/>
        </w:rPr>
        <w:t>what is now avai</w:t>
      </w:r>
      <w:r w:rsidR="00D206E7" w:rsidRPr="009D337C">
        <w:rPr>
          <w:rFonts w:asciiTheme="minorHAnsi" w:hAnsiTheme="minorHAnsi" w:cstheme="minorHAnsi"/>
        </w:rPr>
        <w:t>lable</w:t>
      </w:r>
      <w:r w:rsidRPr="009D337C">
        <w:rPr>
          <w:rFonts w:asciiTheme="minorHAnsi" w:hAnsiTheme="minorHAnsi" w:cstheme="minorHAnsi"/>
        </w:rPr>
        <w:t xml:space="preserve">. Information has been sourced from </w:t>
      </w:r>
      <w:r w:rsidR="00D206E7" w:rsidRPr="009D337C">
        <w:rPr>
          <w:rFonts w:asciiTheme="minorHAnsi" w:hAnsiTheme="minorHAnsi" w:cstheme="minorHAnsi"/>
        </w:rPr>
        <w:t xml:space="preserve">central </w:t>
      </w:r>
      <w:r w:rsidR="00613CC9">
        <w:rPr>
          <w:rFonts w:asciiTheme="minorHAnsi" w:hAnsiTheme="minorHAnsi" w:cstheme="minorHAnsi"/>
        </w:rPr>
        <w:t xml:space="preserve">NHS England </w:t>
      </w:r>
      <w:r w:rsidRPr="009D337C">
        <w:rPr>
          <w:rFonts w:asciiTheme="minorHAnsi" w:hAnsiTheme="minorHAnsi" w:cstheme="minorHAnsi"/>
        </w:rPr>
        <w:t>directions, the LMC, LPC</w:t>
      </w:r>
      <w:r w:rsidR="00613CC9">
        <w:rPr>
          <w:rFonts w:asciiTheme="minorHAnsi" w:hAnsiTheme="minorHAnsi" w:cstheme="minorHAnsi"/>
        </w:rPr>
        <w:t xml:space="preserve"> (Local Pharmaceutical Committee)</w:t>
      </w:r>
      <w:r w:rsidRPr="009D337C">
        <w:rPr>
          <w:rFonts w:asciiTheme="minorHAnsi" w:hAnsiTheme="minorHAnsi" w:cstheme="minorHAnsi"/>
        </w:rPr>
        <w:t xml:space="preserve"> and commissioners</w:t>
      </w:r>
      <w:r w:rsidR="00A50958">
        <w:rPr>
          <w:rFonts w:asciiTheme="minorHAnsi" w:hAnsiTheme="minorHAnsi" w:cstheme="minorHAnsi"/>
        </w:rPr>
        <w:t>,</w:t>
      </w:r>
      <w:r w:rsidRPr="009D337C">
        <w:rPr>
          <w:rFonts w:asciiTheme="minorHAnsi" w:hAnsiTheme="minorHAnsi" w:cstheme="minorHAnsi"/>
        </w:rPr>
        <w:t xml:space="preserve"> and has been </w:t>
      </w:r>
      <w:r w:rsidR="0069789E">
        <w:rPr>
          <w:rFonts w:asciiTheme="minorHAnsi" w:hAnsiTheme="minorHAnsi" w:cstheme="minorHAnsi"/>
        </w:rPr>
        <w:t xml:space="preserve">included </w:t>
      </w:r>
      <w:r w:rsidR="00184D5B">
        <w:rPr>
          <w:rFonts w:asciiTheme="minorHAnsi" w:hAnsiTheme="minorHAnsi" w:cstheme="minorHAnsi"/>
        </w:rPr>
        <w:t>based</w:t>
      </w:r>
      <w:r w:rsidRPr="009D337C">
        <w:rPr>
          <w:rFonts w:asciiTheme="minorHAnsi" w:hAnsiTheme="minorHAnsi" w:cstheme="minorHAnsi"/>
        </w:rPr>
        <w:t xml:space="preserve"> on issues and challenges from </w:t>
      </w:r>
      <w:r w:rsidR="00D85177" w:rsidRPr="009D337C">
        <w:rPr>
          <w:rFonts w:asciiTheme="minorHAnsi" w:hAnsiTheme="minorHAnsi" w:cstheme="minorHAnsi"/>
        </w:rPr>
        <w:t>Practice</w:t>
      </w:r>
      <w:r w:rsidRPr="009D337C">
        <w:rPr>
          <w:rFonts w:asciiTheme="minorHAnsi" w:hAnsiTheme="minorHAnsi" w:cstheme="minorHAnsi"/>
        </w:rPr>
        <w:t xml:space="preserve"> </w:t>
      </w:r>
      <w:r w:rsidR="00613CC9">
        <w:rPr>
          <w:rFonts w:asciiTheme="minorHAnsi" w:hAnsiTheme="minorHAnsi" w:cstheme="minorHAnsi"/>
        </w:rPr>
        <w:t>M</w:t>
      </w:r>
      <w:r w:rsidRPr="009D337C">
        <w:rPr>
          <w:rFonts w:asciiTheme="minorHAnsi" w:hAnsiTheme="minorHAnsi" w:cstheme="minorHAnsi"/>
        </w:rPr>
        <w:t xml:space="preserve">anagers and GPs across </w:t>
      </w:r>
      <w:r w:rsidR="00D206E7" w:rsidRPr="009D337C">
        <w:rPr>
          <w:rFonts w:asciiTheme="minorHAnsi" w:hAnsiTheme="minorHAnsi" w:cstheme="minorHAnsi"/>
        </w:rPr>
        <w:t>S</w:t>
      </w:r>
      <w:r w:rsidRPr="009D337C">
        <w:rPr>
          <w:rFonts w:asciiTheme="minorHAnsi" w:hAnsiTheme="minorHAnsi" w:cstheme="minorHAnsi"/>
        </w:rPr>
        <w:t xml:space="preserve">urrey and Sussex.  </w:t>
      </w:r>
      <w:r w:rsidR="00613CC9">
        <w:rPr>
          <w:rFonts w:asciiTheme="minorHAnsi" w:hAnsiTheme="minorHAnsi" w:cstheme="minorHAnsi"/>
        </w:rPr>
        <w:t>Colleague</w:t>
      </w:r>
      <w:r w:rsidR="00D206E7" w:rsidRPr="009D337C">
        <w:rPr>
          <w:rFonts w:asciiTheme="minorHAnsi" w:hAnsiTheme="minorHAnsi" w:cstheme="minorHAnsi"/>
        </w:rPr>
        <w:t xml:space="preserve">s can read the guidance in its entirety or click on the topic heading in the contents below to be taken directly to that topic within the guide. We hope you find this easy access useful. </w:t>
      </w:r>
    </w:p>
    <w:p w14:paraId="46A37C44" w14:textId="139B9E2E" w:rsidR="00113DB5" w:rsidRPr="00113DB5" w:rsidRDefault="00113DB5" w:rsidP="00113DB5">
      <w:pPr>
        <w:rPr>
          <w:rFonts w:asciiTheme="minorHAnsi" w:hAnsiTheme="minorHAnsi" w:cstheme="minorHAnsi"/>
        </w:rPr>
      </w:pPr>
      <w:r w:rsidRPr="00113DB5">
        <w:rPr>
          <w:rFonts w:asciiTheme="minorHAnsi" w:hAnsiTheme="minorHAnsi" w:cstheme="minorHAnsi"/>
        </w:rPr>
        <w:t>Please note that at the time of this release all expected comprehensive central governance has been received, albeit there are several issues of clarity which may emerge over time. It is therefore our intention to make this the last of the comprehensive guides but continue any further release of information through Dr Parker</w:t>
      </w:r>
      <w:r w:rsidR="00184D5B">
        <w:rPr>
          <w:rFonts w:asciiTheme="minorHAnsi" w:hAnsiTheme="minorHAnsi" w:cstheme="minorHAnsi"/>
        </w:rPr>
        <w:t>’</w:t>
      </w:r>
      <w:r w:rsidRPr="00113DB5">
        <w:rPr>
          <w:rFonts w:asciiTheme="minorHAnsi" w:hAnsiTheme="minorHAnsi" w:cstheme="minorHAnsi"/>
        </w:rPr>
        <w:t xml:space="preserve">s regular written correspondence, Practice Managers webinars or local Task and Finish groups. </w:t>
      </w:r>
    </w:p>
    <w:p w14:paraId="2D516271" w14:textId="77777777" w:rsidR="00113DB5" w:rsidRPr="00113DB5" w:rsidRDefault="00113DB5" w:rsidP="00113DB5">
      <w:pPr>
        <w:rPr>
          <w:rFonts w:asciiTheme="minorHAnsi" w:hAnsiTheme="minorHAnsi" w:cstheme="minorHAnsi"/>
        </w:rPr>
      </w:pPr>
      <w:r w:rsidRPr="00113DB5">
        <w:rPr>
          <w:rFonts w:asciiTheme="minorHAnsi" w:hAnsiTheme="minorHAnsi" w:cstheme="minorHAnsi"/>
        </w:rPr>
        <w:t xml:space="preserve">To date, statistics show that all practices have made a great start and have reported, as expected, a greater demand for vaccinations, even within the eligible cohorts. We would like to say a big thank you for your sterling efforts which indicate early expectations that the targets set for general practice, if the effort and the availability of vaccines are maintained, will be met.  </w:t>
      </w:r>
    </w:p>
    <w:p w14:paraId="263A6597" w14:textId="43D25D3F" w:rsidR="00113DB5" w:rsidRPr="00113DB5" w:rsidRDefault="00113DB5" w:rsidP="00113DB5">
      <w:pPr>
        <w:rPr>
          <w:rFonts w:asciiTheme="minorHAnsi" w:hAnsiTheme="minorHAnsi" w:cstheme="minorHAnsi"/>
        </w:rPr>
      </w:pPr>
      <w:r w:rsidRPr="00113DB5">
        <w:rPr>
          <w:rFonts w:asciiTheme="minorHAnsi" w:hAnsiTheme="minorHAnsi" w:cstheme="minorHAnsi"/>
        </w:rPr>
        <w:t xml:space="preserve">We would continue to encourage everyone to report concerns on any issues related to this year’s flu programme to the CCG, </w:t>
      </w:r>
      <w:r w:rsidRPr="00A50958">
        <w:rPr>
          <w:rFonts w:asciiTheme="minorHAnsi" w:hAnsiTheme="minorHAnsi" w:cstheme="minorHAnsi"/>
        </w:rPr>
        <w:t>(</w:t>
      </w:r>
      <w:hyperlink r:id="rId10" w:history="1">
        <w:r w:rsidRPr="00A50958">
          <w:rPr>
            <w:rStyle w:val="Hyperlink"/>
            <w:rFonts w:asciiTheme="minorHAnsi" w:hAnsiTheme="minorHAnsi" w:cstheme="minorHAnsi"/>
          </w:rPr>
          <w:t>See Local Practice Support Requirements in the version 1 issued 6</w:t>
        </w:r>
        <w:r w:rsidRPr="00A50958">
          <w:rPr>
            <w:rStyle w:val="Hyperlink"/>
            <w:rFonts w:asciiTheme="minorHAnsi" w:hAnsiTheme="minorHAnsi" w:cstheme="minorHAnsi"/>
            <w:vertAlign w:val="superscript"/>
          </w:rPr>
          <w:t>th</w:t>
        </w:r>
        <w:r w:rsidRPr="00A50958">
          <w:rPr>
            <w:rStyle w:val="Hyperlink"/>
            <w:rFonts w:asciiTheme="minorHAnsi" w:hAnsiTheme="minorHAnsi" w:cstheme="minorHAnsi"/>
          </w:rPr>
          <w:t xml:space="preserve"> August 2020</w:t>
        </w:r>
      </w:hyperlink>
      <w:r w:rsidRPr="00A50958">
        <w:rPr>
          <w:rFonts w:asciiTheme="minorHAnsi" w:hAnsiTheme="minorHAnsi" w:cstheme="minorHAnsi"/>
        </w:rPr>
        <w:t>)</w:t>
      </w:r>
      <w:r>
        <w:rPr>
          <w:rFonts w:asciiTheme="minorHAnsi" w:hAnsiTheme="minorHAnsi" w:cstheme="minorHAnsi"/>
        </w:rPr>
        <w:t xml:space="preserve"> </w:t>
      </w:r>
      <w:r w:rsidRPr="00113DB5">
        <w:rPr>
          <w:rFonts w:asciiTheme="minorHAnsi" w:hAnsiTheme="minorHAnsi" w:cstheme="minorHAnsi"/>
        </w:rPr>
        <w:t xml:space="preserve">so that challenges can be identified, and solutions sought. </w:t>
      </w:r>
    </w:p>
    <w:p w14:paraId="4CB40869" w14:textId="295811D9" w:rsidR="00113DB5" w:rsidRPr="009D337C" w:rsidRDefault="00113DB5" w:rsidP="00113DB5">
      <w:pPr>
        <w:rPr>
          <w:rFonts w:asciiTheme="minorHAnsi" w:hAnsiTheme="minorHAnsi" w:cstheme="minorHAnsi"/>
        </w:rPr>
      </w:pPr>
      <w:r w:rsidRPr="00113DB5">
        <w:rPr>
          <w:rFonts w:asciiTheme="minorHAnsi" w:hAnsiTheme="minorHAnsi" w:cstheme="minorHAnsi"/>
        </w:rPr>
        <w:t xml:space="preserve">Please feel free to raise any of these issues at the LMC/CCG and PMs Webinars.   </w:t>
      </w:r>
    </w:p>
    <w:p w14:paraId="49671D12" w14:textId="77777777" w:rsidR="00A50958" w:rsidRDefault="00A50958">
      <w:pPr>
        <w:suppressAutoHyphens w:val="0"/>
        <w:autoSpaceDN/>
        <w:spacing w:line="259" w:lineRule="auto"/>
        <w:textAlignment w:val="auto"/>
        <w:rPr>
          <w:rFonts w:asciiTheme="minorHAnsi" w:hAnsiTheme="minorHAnsi" w:cstheme="minorHAnsi"/>
          <w:lang w:val="en-US"/>
        </w:rPr>
      </w:pPr>
      <w:r>
        <w:rPr>
          <w:rFonts w:asciiTheme="minorHAnsi" w:hAnsiTheme="minorHAnsi" w:cstheme="minorHAnsi"/>
          <w:lang w:val="en-US"/>
        </w:rPr>
        <w:br w:type="page"/>
      </w:r>
    </w:p>
    <w:p w14:paraId="0A106071" w14:textId="77777777" w:rsidR="00A50958" w:rsidRDefault="008D59C5" w:rsidP="002F00DB">
      <w:pPr>
        <w:pStyle w:val="TOCHeading"/>
        <w:outlineLvl w:val="9"/>
        <w:rPr>
          <w:rFonts w:asciiTheme="minorHAnsi" w:eastAsia="Calibri" w:hAnsiTheme="minorHAnsi" w:cstheme="minorHAnsi"/>
          <w:color w:val="auto"/>
          <w:sz w:val="22"/>
          <w:szCs w:val="22"/>
          <w:lang w:val="en-GB"/>
        </w:rPr>
      </w:pPr>
      <w:r>
        <w:rPr>
          <w:rFonts w:asciiTheme="minorHAnsi" w:hAnsiTheme="minorHAnsi" w:cstheme="minorHAnsi"/>
          <w:noProof/>
        </w:rPr>
        <w:lastRenderedPageBreak/>
        <mc:AlternateContent>
          <mc:Choice Requires="wpi">
            <w:drawing>
              <wp:anchor distT="0" distB="0" distL="114300" distR="114300" simplePos="0" relativeHeight="251666432" behindDoc="0" locked="0" layoutInCell="1" allowOverlap="1" wp14:anchorId="740F16E8" wp14:editId="7685625A">
                <wp:simplePos x="0" y="0"/>
                <wp:positionH relativeFrom="column">
                  <wp:posOffset>7578585</wp:posOffset>
                </wp:positionH>
                <wp:positionV relativeFrom="paragraph">
                  <wp:posOffset>2528985</wp:posOffset>
                </wp:positionV>
                <wp:extent cx="3240" cy="2880"/>
                <wp:effectExtent l="57150" t="57150" r="53975" b="54610"/>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3240" cy="2880"/>
                      </w14:xfrm>
                    </w14:contentPart>
                  </a:graphicData>
                </a:graphic>
              </wp:anchor>
            </w:drawing>
          </mc:Choice>
          <mc:Fallback>
            <w:pict>
              <v:shapetype w14:anchorId="0F7DE1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596.05pt;margin-top:198.45pt;width:1.65pt;height:1.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">
                <v:imagedata r:id="rId12" o:title=""/>
              </v:shape>
            </w:pict>
          </mc:Fallback>
        </mc:AlternateContent>
      </w:r>
      <w:bookmarkStart w:id="0" w:name="_Toc50482930"/>
    </w:p>
    <w:sdt>
      <w:sdtPr>
        <w:rPr>
          <w:rFonts w:asciiTheme="minorHAnsi" w:hAnsiTheme="minorHAnsi" w:cstheme="minorHAnsi"/>
        </w:rPr>
        <w:id w:val="-675425090"/>
        <w:docPartObj>
          <w:docPartGallery w:val="Table of Contents"/>
          <w:docPartUnique/>
        </w:docPartObj>
      </w:sdtPr>
      <w:sdtEndPr>
        <w:rPr>
          <w:b/>
          <w:bCs/>
          <w:noProof/>
        </w:rPr>
      </w:sdtEndPr>
      <w:sdtContent>
        <w:p w14:paraId="698E8D22" w14:textId="22F0C709" w:rsidR="002F00DB" w:rsidRPr="008D59C5" w:rsidRDefault="002F00DB" w:rsidP="00A50958">
          <w:pPr>
            <w:rPr>
              <w:rFonts w:asciiTheme="minorHAnsi" w:hAnsiTheme="minorHAnsi" w:cstheme="minorHAnsi"/>
              <w:vertAlign w:val="superscript"/>
            </w:rPr>
          </w:pPr>
          <w:r w:rsidRPr="009D337C">
            <w:rPr>
              <w:rFonts w:asciiTheme="minorHAnsi" w:hAnsiTheme="minorHAnsi" w:cstheme="minorHAnsi"/>
            </w:rPr>
            <w:t>Contents</w:t>
          </w:r>
        </w:p>
        <w:p w14:paraId="733DD9F6" w14:textId="30F9434C" w:rsidR="00EB323B" w:rsidRDefault="002F00DB">
          <w:pPr>
            <w:pStyle w:val="TOC1"/>
            <w:tabs>
              <w:tab w:val="right" w:leader="dot" w:pos="9016"/>
            </w:tabs>
            <w:rPr>
              <w:rFonts w:asciiTheme="minorHAnsi" w:eastAsiaTheme="minorEastAsia" w:hAnsiTheme="minorHAnsi" w:cstheme="minorBidi"/>
              <w:noProof/>
              <w:lang w:eastAsia="en-GB"/>
            </w:rPr>
          </w:pPr>
          <w:r w:rsidRPr="009D337C">
            <w:rPr>
              <w:rFonts w:asciiTheme="minorHAnsi" w:hAnsiTheme="minorHAnsi" w:cstheme="minorHAnsi"/>
            </w:rPr>
            <w:fldChar w:fldCharType="begin"/>
          </w:r>
          <w:r w:rsidRPr="009D337C">
            <w:rPr>
              <w:rFonts w:asciiTheme="minorHAnsi" w:hAnsiTheme="minorHAnsi" w:cstheme="minorHAnsi"/>
            </w:rPr>
            <w:instrText xml:space="preserve"> TOC \o "1-3" \h \z \u </w:instrText>
          </w:r>
          <w:r w:rsidRPr="009D337C">
            <w:rPr>
              <w:rFonts w:asciiTheme="minorHAnsi" w:hAnsiTheme="minorHAnsi" w:cstheme="minorHAnsi"/>
            </w:rPr>
            <w:fldChar w:fldCharType="separate"/>
          </w:r>
          <w:hyperlink w:anchor="_Toc54254211" w:history="1">
            <w:r w:rsidR="00EB323B" w:rsidRPr="00BD1DCB">
              <w:rPr>
                <w:rStyle w:val="Hyperlink"/>
                <w:rFonts w:cstheme="minorHAnsi"/>
                <w:b/>
                <w:bCs/>
                <w:noProof/>
                <w:lang w:val="en-US"/>
              </w:rPr>
              <w:t>Access to additional vaccine supplies</w:t>
            </w:r>
            <w:r w:rsidR="00EB323B">
              <w:rPr>
                <w:noProof/>
                <w:webHidden/>
              </w:rPr>
              <w:tab/>
            </w:r>
            <w:r w:rsidR="00EB323B">
              <w:rPr>
                <w:noProof/>
                <w:webHidden/>
              </w:rPr>
              <w:fldChar w:fldCharType="begin"/>
            </w:r>
            <w:r w:rsidR="00EB323B">
              <w:rPr>
                <w:noProof/>
                <w:webHidden/>
              </w:rPr>
              <w:instrText xml:space="preserve"> PAGEREF _Toc54254211 \h </w:instrText>
            </w:r>
            <w:r w:rsidR="00EB323B">
              <w:rPr>
                <w:noProof/>
                <w:webHidden/>
              </w:rPr>
            </w:r>
            <w:r w:rsidR="00EB323B">
              <w:rPr>
                <w:noProof/>
                <w:webHidden/>
              </w:rPr>
              <w:fldChar w:fldCharType="separate"/>
            </w:r>
            <w:r w:rsidR="00EB323B">
              <w:rPr>
                <w:noProof/>
                <w:webHidden/>
              </w:rPr>
              <w:t>3</w:t>
            </w:r>
            <w:r w:rsidR="00EB323B">
              <w:rPr>
                <w:noProof/>
                <w:webHidden/>
              </w:rPr>
              <w:fldChar w:fldCharType="end"/>
            </w:r>
          </w:hyperlink>
        </w:p>
        <w:p w14:paraId="26DF9ECA" w14:textId="67C68AD4" w:rsidR="00EB323B" w:rsidRDefault="00250A05">
          <w:pPr>
            <w:pStyle w:val="TOC2"/>
            <w:tabs>
              <w:tab w:val="right" w:leader="dot" w:pos="9016"/>
            </w:tabs>
            <w:rPr>
              <w:rFonts w:asciiTheme="minorHAnsi" w:eastAsiaTheme="minorEastAsia" w:hAnsiTheme="minorHAnsi" w:cstheme="minorBidi"/>
              <w:noProof/>
              <w:lang w:eastAsia="en-GB"/>
            </w:rPr>
          </w:pPr>
          <w:hyperlink w:anchor="_Toc54254212" w:history="1">
            <w:r w:rsidR="00EB323B" w:rsidRPr="00BD1DCB">
              <w:rPr>
                <w:rStyle w:val="Hyperlink"/>
                <w:rFonts w:cstheme="minorHAnsi"/>
                <w:bCs/>
                <w:noProof/>
                <w:lang w:eastAsia="en-GB"/>
              </w:rPr>
              <w:t>Department of Health &amp; Social Care (DHSC) Letter</w:t>
            </w:r>
            <w:r w:rsidR="00EB323B">
              <w:rPr>
                <w:noProof/>
                <w:webHidden/>
              </w:rPr>
              <w:tab/>
            </w:r>
            <w:r w:rsidR="00EB323B">
              <w:rPr>
                <w:noProof/>
                <w:webHidden/>
              </w:rPr>
              <w:fldChar w:fldCharType="begin"/>
            </w:r>
            <w:r w:rsidR="00EB323B">
              <w:rPr>
                <w:noProof/>
                <w:webHidden/>
              </w:rPr>
              <w:instrText xml:space="preserve"> PAGEREF _Toc54254212 \h </w:instrText>
            </w:r>
            <w:r w:rsidR="00EB323B">
              <w:rPr>
                <w:noProof/>
                <w:webHidden/>
              </w:rPr>
            </w:r>
            <w:r w:rsidR="00EB323B">
              <w:rPr>
                <w:noProof/>
                <w:webHidden/>
              </w:rPr>
              <w:fldChar w:fldCharType="separate"/>
            </w:r>
            <w:r w:rsidR="00EB323B">
              <w:rPr>
                <w:noProof/>
                <w:webHidden/>
              </w:rPr>
              <w:t>3</w:t>
            </w:r>
            <w:r w:rsidR="00EB323B">
              <w:rPr>
                <w:noProof/>
                <w:webHidden/>
              </w:rPr>
              <w:fldChar w:fldCharType="end"/>
            </w:r>
          </w:hyperlink>
        </w:p>
        <w:p w14:paraId="6BDB7EED" w14:textId="0FA24A28" w:rsidR="00EB323B" w:rsidRDefault="00250A05">
          <w:pPr>
            <w:pStyle w:val="TOC3"/>
            <w:tabs>
              <w:tab w:val="right" w:leader="dot" w:pos="9016"/>
            </w:tabs>
            <w:rPr>
              <w:rFonts w:asciiTheme="minorHAnsi" w:eastAsiaTheme="minorEastAsia" w:hAnsiTheme="minorHAnsi" w:cstheme="minorBidi"/>
              <w:noProof/>
              <w:lang w:eastAsia="en-GB"/>
            </w:rPr>
          </w:pPr>
          <w:hyperlink w:anchor="_Toc54254213" w:history="1">
            <w:r w:rsidR="00EB323B" w:rsidRPr="00BD1DCB">
              <w:rPr>
                <w:rStyle w:val="Hyperlink"/>
                <w:rFonts w:cstheme="minorHAnsi"/>
                <w:noProof/>
                <w:lang w:eastAsia="en-GB"/>
              </w:rPr>
              <w:t>Ordering</w:t>
            </w:r>
            <w:r w:rsidR="00EB323B">
              <w:rPr>
                <w:noProof/>
                <w:webHidden/>
              </w:rPr>
              <w:tab/>
            </w:r>
            <w:r w:rsidR="00EB323B">
              <w:rPr>
                <w:noProof/>
                <w:webHidden/>
              </w:rPr>
              <w:fldChar w:fldCharType="begin"/>
            </w:r>
            <w:r w:rsidR="00EB323B">
              <w:rPr>
                <w:noProof/>
                <w:webHidden/>
              </w:rPr>
              <w:instrText xml:space="preserve"> PAGEREF _Toc54254213 \h </w:instrText>
            </w:r>
            <w:r w:rsidR="00EB323B">
              <w:rPr>
                <w:noProof/>
                <w:webHidden/>
              </w:rPr>
            </w:r>
            <w:r w:rsidR="00EB323B">
              <w:rPr>
                <w:noProof/>
                <w:webHidden/>
              </w:rPr>
              <w:fldChar w:fldCharType="separate"/>
            </w:r>
            <w:r w:rsidR="00EB323B">
              <w:rPr>
                <w:noProof/>
                <w:webHidden/>
              </w:rPr>
              <w:t>3</w:t>
            </w:r>
            <w:r w:rsidR="00EB323B">
              <w:rPr>
                <w:noProof/>
                <w:webHidden/>
              </w:rPr>
              <w:fldChar w:fldCharType="end"/>
            </w:r>
          </w:hyperlink>
        </w:p>
        <w:p w14:paraId="5EA1383E" w14:textId="20A013F9" w:rsidR="00EB323B" w:rsidRDefault="00250A05">
          <w:pPr>
            <w:pStyle w:val="TOC3"/>
            <w:tabs>
              <w:tab w:val="right" w:leader="dot" w:pos="9016"/>
            </w:tabs>
            <w:rPr>
              <w:rFonts w:asciiTheme="minorHAnsi" w:eastAsiaTheme="minorEastAsia" w:hAnsiTheme="minorHAnsi" w:cstheme="minorBidi"/>
              <w:noProof/>
              <w:lang w:eastAsia="en-GB"/>
            </w:rPr>
          </w:pPr>
          <w:hyperlink w:anchor="_Toc54254214" w:history="1">
            <w:r w:rsidR="00EB323B" w:rsidRPr="00BD1DCB">
              <w:rPr>
                <w:rStyle w:val="Hyperlink"/>
                <w:rFonts w:cstheme="minorHAnsi"/>
                <w:noProof/>
                <w:lang w:eastAsia="en-GB"/>
              </w:rPr>
              <w:t>Claiming &amp; payment processes</w:t>
            </w:r>
            <w:r w:rsidR="00EB323B">
              <w:rPr>
                <w:noProof/>
                <w:webHidden/>
              </w:rPr>
              <w:tab/>
            </w:r>
            <w:r w:rsidR="00EB323B">
              <w:rPr>
                <w:noProof/>
                <w:webHidden/>
              </w:rPr>
              <w:fldChar w:fldCharType="begin"/>
            </w:r>
            <w:r w:rsidR="00EB323B">
              <w:rPr>
                <w:noProof/>
                <w:webHidden/>
              </w:rPr>
              <w:instrText xml:space="preserve"> PAGEREF _Toc54254214 \h </w:instrText>
            </w:r>
            <w:r w:rsidR="00EB323B">
              <w:rPr>
                <w:noProof/>
                <w:webHidden/>
              </w:rPr>
            </w:r>
            <w:r w:rsidR="00EB323B">
              <w:rPr>
                <w:noProof/>
                <w:webHidden/>
              </w:rPr>
              <w:fldChar w:fldCharType="separate"/>
            </w:r>
            <w:r w:rsidR="00EB323B">
              <w:rPr>
                <w:noProof/>
                <w:webHidden/>
              </w:rPr>
              <w:t>4</w:t>
            </w:r>
            <w:r w:rsidR="00EB323B">
              <w:rPr>
                <w:noProof/>
                <w:webHidden/>
              </w:rPr>
              <w:fldChar w:fldCharType="end"/>
            </w:r>
          </w:hyperlink>
        </w:p>
        <w:p w14:paraId="69F77CF6" w14:textId="7A769F0B" w:rsidR="00EB323B" w:rsidRDefault="00250A05">
          <w:pPr>
            <w:pStyle w:val="TOC3"/>
            <w:tabs>
              <w:tab w:val="right" w:leader="dot" w:pos="9016"/>
            </w:tabs>
            <w:rPr>
              <w:rFonts w:asciiTheme="minorHAnsi" w:eastAsiaTheme="minorEastAsia" w:hAnsiTheme="minorHAnsi" w:cstheme="minorBidi"/>
              <w:noProof/>
              <w:lang w:eastAsia="en-GB"/>
            </w:rPr>
          </w:pPr>
          <w:hyperlink w:anchor="_Toc54254215" w:history="1">
            <w:r w:rsidR="00EB323B" w:rsidRPr="00BD1DCB">
              <w:rPr>
                <w:rStyle w:val="Hyperlink"/>
                <w:rFonts w:cstheme="minorHAnsi"/>
                <w:noProof/>
                <w:lang w:eastAsia="en-GB"/>
              </w:rPr>
              <w:t>Auditing</w:t>
            </w:r>
            <w:r w:rsidR="00EB323B">
              <w:rPr>
                <w:noProof/>
                <w:webHidden/>
              </w:rPr>
              <w:tab/>
            </w:r>
            <w:r w:rsidR="00EB323B">
              <w:rPr>
                <w:noProof/>
                <w:webHidden/>
              </w:rPr>
              <w:fldChar w:fldCharType="begin"/>
            </w:r>
            <w:r w:rsidR="00EB323B">
              <w:rPr>
                <w:noProof/>
                <w:webHidden/>
              </w:rPr>
              <w:instrText xml:space="preserve"> PAGEREF _Toc54254215 \h </w:instrText>
            </w:r>
            <w:r w:rsidR="00EB323B">
              <w:rPr>
                <w:noProof/>
                <w:webHidden/>
              </w:rPr>
            </w:r>
            <w:r w:rsidR="00EB323B">
              <w:rPr>
                <w:noProof/>
                <w:webHidden/>
              </w:rPr>
              <w:fldChar w:fldCharType="separate"/>
            </w:r>
            <w:r w:rsidR="00EB323B">
              <w:rPr>
                <w:noProof/>
                <w:webHidden/>
              </w:rPr>
              <w:t>5</w:t>
            </w:r>
            <w:r w:rsidR="00EB323B">
              <w:rPr>
                <w:noProof/>
                <w:webHidden/>
              </w:rPr>
              <w:fldChar w:fldCharType="end"/>
            </w:r>
          </w:hyperlink>
        </w:p>
        <w:p w14:paraId="5681CC6C" w14:textId="51B9A84F" w:rsidR="00EB323B" w:rsidRDefault="00250A05">
          <w:pPr>
            <w:pStyle w:val="TOC3"/>
            <w:tabs>
              <w:tab w:val="right" w:leader="dot" w:pos="9016"/>
            </w:tabs>
            <w:rPr>
              <w:rFonts w:asciiTheme="minorHAnsi" w:eastAsiaTheme="minorEastAsia" w:hAnsiTheme="minorHAnsi" w:cstheme="minorBidi"/>
              <w:noProof/>
              <w:lang w:eastAsia="en-GB"/>
            </w:rPr>
          </w:pPr>
          <w:hyperlink w:anchor="_Toc54254216" w:history="1">
            <w:r w:rsidR="00EB323B" w:rsidRPr="00BD1DCB">
              <w:rPr>
                <w:rStyle w:val="Hyperlink"/>
                <w:rFonts w:cstheme="minorHAnsi"/>
                <w:noProof/>
                <w:lang w:eastAsia="en-GB"/>
              </w:rPr>
              <w:t>Sharing of stocks</w:t>
            </w:r>
            <w:r w:rsidR="00EB323B">
              <w:rPr>
                <w:noProof/>
                <w:webHidden/>
              </w:rPr>
              <w:tab/>
            </w:r>
            <w:r w:rsidR="00EB323B">
              <w:rPr>
                <w:noProof/>
                <w:webHidden/>
              </w:rPr>
              <w:fldChar w:fldCharType="begin"/>
            </w:r>
            <w:r w:rsidR="00EB323B">
              <w:rPr>
                <w:noProof/>
                <w:webHidden/>
              </w:rPr>
              <w:instrText xml:space="preserve"> PAGEREF _Toc54254216 \h </w:instrText>
            </w:r>
            <w:r w:rsidR="00EB323B">
              <w:rPr>
                <w:noProof/>
                <w:webHidden/>
              </w:rPr>
            </w:r>
            <w:r w:rsidR="00EB323B">
              <w:rPr>
                <w:noProof/>
                <w:webHidden/>
              </w:rPr>
              <w:fldChar w:fldCharType="separate"/>
            </w:r>
            <w:r w:rsidR="00EB323B">
              <w:rPr>
                <w:noProof/>
                <w:webHidden/>
              </w:rPr>
              <w:t>5</w:t>
            </w:r>
            <w:r w:rsidR="00EB323B">
              <w:rPr>
                <w:noProof/>
                <w:webHidden/>
              </w:rPr>
              <w:fldChar w:fldCharType="end"/>
            </w:r>
          </w:hyperlink>
        </w:p>
        <w:p w14:paraId="4C8C2A05" w14:textId="3B67D303" w:rsidR="00EB323B" w:rsidRDefault="00250A05">
          <w:pPr>
            <w:pStyle w:val="TOC2"/>
            <w:tabs>
              <w:tab w:val="right" w:leader="dot" w:pos="9016"/>
            </w:tabs>
            <w:rPr>
              <w:rFonts w:asciiTheme="minorHAnsi" w:eastAsiaTheme="minorEastAsia" w:hAnsiTheme="minorHAnsi" w:cstheme="minorBidi"/>
              <w:noProof/>
              <w:lang w:eastAsia="en-GB"/>
            </w:rPr>
          </w:pPr>
          <w:hyperlink w:anchor="_Toc54254217" w:history="1">
            <w:r w:rsidR="00EB323B" w:rsidRPr="00BD1DCB">
              <w:rPr>
                <w:rStyle w:val="Hyperlink"/>
                <w:rFonts w:cstheme="minorHAnsi"/>
                <w:noProof/>
                <w:lang w:eastAsia="en-GB"/>
              </w:rPr>
              <w:t>Damaged or loss of in-practice vaccine</w:t>
            </w:r>
            <w:r w:rsidR="00EB323B">
              <w:rPr>
                <w:noProof/>
                <w:webHidden/>
              </w:rPr>
              <w:tab/>
            </w:r>
            <w:r w:rsidR="00EB323B">
              <w:rPr>
                <w:noProof/>
                <w:webHidden/>
              </w:rPr>
              <w:fldChar w:fldCharType="begin"/>
            </w:r>
            <w:r w:rsidR="00EB323B">
              <w:rPr>
                <w:noProof/>
                <w:webHidden/>
              </w:rPr>
              <w:instrText xml:space="preserve"> PAGEREF _Toc54254217 \h </w:instrText>
            </w:r>
            <w:r w:rsidR="00EB323B">
              <w:rPr>
                <w:noProof/>
                <w:webHidden/>
              </w:rPr>
            </w:r>
            <w:r w:rsidR="00EB323B">
              <w:rPr>
                <w:noProof/>
                <w:webHidden/>
              </w:rPr>
              <w:fldChar w:fldCharType="separate"/>
            </w:r>
            <w:r w:rsidR="00EB323B">
              <w:rPr>
                <w:noProof/>
                <w:webHidden/>
              </w:rPr>
              <w:t>5</w:t>
            </w:r>
            <w:r w:rsidR="00EB323B">
              <w:rPr>
                <w:noProof/>
                <w:webHidden/>
              </w:rPr>
              <w:fldChar w:fldCharType="end"/>
            </w:r>
          </w:hyperlink>
        </w:p>
        <w:p w14:paraId="3834D30A" w14:textId="3BE671D7" w:rsidR="00EB323B" w:rsidRDefault="00250A05">
          <w:pPr>
            <w:pStyle w:val="TOC2"/>
            <w:tabs>
              <w:tab w:val="right" w:leader="dot" w:pos="9016"/>
            </w:tabs>
            <w:rPr>
              <w:rFonts w:asciiTheme="minorHAnsi" w:eastAsiaTheme="minorEastAsia" w:hAnsiTheme="minorHAnsi" w:cstheme="minorBidi"/>
              <w:noProof/>
              <w:lang w:eastAsia="en-GB"/>
            </w:rPr>
          </w:pPr>
          <w:hyperlink w:anchor="_Toc54254218" w:history="1">
            <w:r w:rsidR="00EB323B" w:rsidRPr="00BD1DCB">
              <w:rPr>
                <w:rStyle w:val="Hyperlink"/>
                <w:rFonts w:cstheme="minorHAnsi"/>
                <w:noProof/>
                <w:lang w:eastAsia="en-GB"/>
              </w:rPr>
              <w:t>Prioritisation of patient cohorts</w:t>
            </w:r>
            <w:r w:rsidR="00EB323B">
              <w:rPr>
                <w:noProof/>
                <w:webHidden/>
              </w:rPr>
              <w:tab/>
            </w:r>
            <w:r w:rsidR="00EB323B">
              <w:rPr>
                <w:noProof/>
                <w:webHidden/>
              </w:rPr>
              <w:fldChar w:fldCharType="begin"/>
            </w:r>
            <w:r w:rsidR="00EB323B">
              <w:rPr>
                <w:noProof/>
                <w:webHidden/>
              </w:rPr>
              <w:instrText xml:space="preserve"> PAGEREF _Toc54254218 \h </w:instrText>
            </w:r>
            <w:r w:rsidR="00EB323B">
              <w:rPr>
                <w:noProof/>
                <w:webHidden/>
              </w:rPr>
            </w:r>
            <w:r w:rsidR="00EB323B">
              <w:rPr>
                <w:noProof/>
                <w:webHidden/>
              </w:rPr>
              <w:fldChar w:fldCharType="separate"/>
            </w:r>
            <w:r w:rsidR="00EB323B">
              <w:rPr>
                <w:noProof/>
                <w:webHidden/>
              </w:rPr>
              <w:t>5</w:t>
            </w:r>
            <w:r w:rsidR="00EB323B">
              <w:rPr>
                <w:noProof/>
                <w:webHidden/>
              </w:rPr>
              <w:fldChar w:fldCharType="end"/>
            </w:r>
          </w:hyperlink>
        </w:p>
        <w:p w14:paraId="5D90FC93" w14:textId="0F301C67" w:rsidR="00EB323B" w:rsidRDefault="00250A05">
          <w:pPr>
            <w:pStyle w:val="TOC2"/>
            <w:tabs>
              <w:tab w:val="right" w:leader="dot" w:pos="9016"/>
            </w:tabs>
            <w:rPr>
              <w:rFonts w:asciiTheme="minorHAnsi" w:eastAsiaTheme="minorEastAsia" w:hAnsiTheme="minorHAnsi" w:cstheme="minorBidi"/>
              <w:noProof/>
              <w:lang w:eastAsia="en-GB"/>
            </w:rPr>
          </w:pPr>
          <w:hyperlink w:anchor="_Toc54254219" w:history="1">
            <w:r w:rsidR="00EB323B" w:rsidRPr="00BD1DCB">
              <w:rPr>
                <w:rStyle w:val="Hyperlink"/>
                <w:rFonts w:cstheme="minorHAnsi"/>
                <w:noProof/>
                <w:lang w:eastAsia="en-GB"/>
              </w:rPr>
              <w:t>Additional Funding for the expanded flu delivery programme</w:t>
            </w:r>
            <w:r w:rsidR="00EB323B">
              <w:rPr>
                <w:noProof/>
                <w:webHidden/>
              </w:rPr>
              <w:tab/>
            </w:r>
            <w:r w:rsidR="00EB323B">
              <w:rPr>
                <w:noProof/>
                <w:webHidden/>
              </w:rPr>
              <w:fldChar w:fldCharType="begin"/>
            </w:r>
            <w:r w:rsidR="00EB323B">
              <w:rPr>
                <w:noProof/>
                <w:webHidden/>
              </w:rPr>
              <w:instrText xml:space="preserve"> PAGEREF _Toc54254219 \h </w:instrText>
            </w:r>
            <w:r w:rsidR="00EB323B">
              <w:rPr>
                <w:noProof/>
                <w:webHidden/>
              </w:rPr>
            </w:r>
            <w:r w:rsidR="00EB323B">
              <w:rPr>
                <w:noProof/>
                <w:webHidden/>
              </w:rPr>
              <w:fldChar w:fldCharType="separate"/>
            </w:r>
            <w:r w:rsidR="00EB323B">
              <w:rPr>
                <w:noProof/>
                <w:webHidden/>
              </w:rPr>
              <w:t>6</w:t>
            </w:r>
            <w:r w:rsidR="00EB323B">
              <w:rPr>
                <w:noProof/>
                <w:webHidden/>
              </w:rPr>
              <w:fldChar w:fldCharType="end"/>
            </w:r>
          </w:hyperlink>
        </w:p>
        <w:p w14:paraId="1E367A5B" w14:textId="38FFA995" w:rsidR="00EB323B" w:rsidRDefault="00250A05">
          <w:pPr>
            <w:pStyle w:val="TOC2"/>
            <w:tabs>
              <w:tab w:val="right" w:leader="dot" w:pos="9016"/>
            </w:tabs>
            <w:rPr>
              <w:rFonts w:asciiTheme="minorHAnsi" w:eastAsiaTheme="minorEastAsia" w:hAnsiTheme="minorHAnsi" w:cstheme="minorBidi"/>
              <w:noProof/>
              <w:lang w:eastAsia="en-GB"/>
            </w:rPr>
          </w:pPr>
          <w:hyperlink w:anchor="_Toc54254220" w:history="1">
            <w:r w:rsidR="00EB323B" w:rsidRPr="00BD1DCB">
              <w:rPr>
                <w:rStyle w:val="Hyperlink"/>
                <w:rFonts w:cstheme="minorHAnsi"/>
                <w:noProof/>
                <w:lang w:eastAsia="en-GB"/>
              </w:rPr>
              <w:t>Detailed Flu Coding Guidance</w:t>
            </w:r>
            <w:r w:rsidR="00EB323B">
              <w:rPr>
                <w:noProof/>
                <w:webHidden/>
              </w:rPr>
              <w:tab/>
            </w:r>
            <w:r w:rsidR="00EB323B">
              <w:rPr>
                <w:noProof/>
                <w:webHidden/>
              </w:rPr>
              <w:fldChar w:fldCharType="begin"/>
            </w:r>
            <w:r w:rsidR="00EB323B">
              <w:rPr>
                <w:noProof/>
                <w:webHidden/>
              </w:rPr>
              <w:instrText xml:space="preserve"> PAGEREF _Toc54254220 \h </w:instrText>
            </w:r>
            <w:r w:rsidR="00EB323B">
              <w:rPr>
                <w:noProof/>
                <w:webHidden/>
              </w:rPr>
            </w:r>
            <w:r w:rsidR="00EB323B">
              <w:rPr>
                <w:noProof/>
                <w:webHidden/>
              </w:rPr>
              <w:fldChar w:fldCharType="separate"/>
            </w:r>
            <w:r w:rsidR="00EB323B">
              <w:rPr>
                <w:noProof/>
                <w:webHidden/>
              </w:rPr>
              <w:t>7</w:t>
            </w:r>
            <w:r w:rsidR="00EB323B">
              <w:rPr>
                <w:noProof/>
                <w:webHidden/>
              </w:rPr>
              <w:fldChar w:fldCharType="end"/>
            </w:r>
          </w:hyperlink>
        </w:p>
        <w:p w14:paraId="2B00BE91" w14:textId="2171FEFA" w:rsidR="00EB323B" w:rsidRDefault="00250A05">
          <w:pPr>
            <w:pStyle w:val="TOC2"/>
            <w:tabs>
              <w:tab w:val="right" w:leader="dot" w:pos="9016"/>
            </w:tabs>
            <w:rPr>
              <w:rFonts w:asciiTheme="minorHAnsi" w:eastAsiaTheme="minorEastAsia" w:hAnsiTheme="minorHAnsi" w:cstheme="minorBidi"/>
              <w:noProof/>
              <w:lang w:eastAsia="en-GB"/>
            </w:rPr>
          </w:pPr>
          <w:hyperlink w:anchor="_Toc54254221" w:history="1">
            <w:r w:rsidR="00EB323B" w:rsidRPr="00BD1DCB">
              <w:rPr>
                <w:rStyle w:val="Hyperlink"/>
                <w:rFonts w:cstheme="minorHAnsi"/>
                <w:noProof/>
                <w:lang w:eastAsia="en-GB"/>
              </w:rPr>
              <w:t>Covid-19 Considerations</w:t>
            </w:r>
            <w:r w:rsidR="00EB323B">
              <w:rPr>
                <w:noProof/>
                <w:webHidden/>
              </w:rPr>
              <w:tab/>
            </w:r>
            <w:r w:rsidR="00EB323B">
              <w:rPr>
                <w:noProof/>
                <w:webHidden/>
              </w:rPr>
              <w:fldChar w:fldCharType="begin"/>
            </w:r>
            <w:r w:rsidR="00EB323B">
              <w:rPr>
                <w:noProof/>
                <w:webHidden/>
              </w:rPr>
              <w:instrText xml:space="preserve"> PAGEREF _Toc54254221 \h </w:instrText>
            </w:r>
            <w:r w:rsidR="00EB323B">
              <w:rPr>
                <w:noProof/>
                <w:webHidden/>
              </w:rPr>
            </w:r>
            <w:r w:rsidR="00EB323B">
              <w:rPr>
                <w:noProof/>
                <w:webHidden/>
              </w:rPr>
              <w:fldChar w:fldCharType="separate"/>
            </w:r>
            <w:r w:rsidR="00EB323B">
              <w:rPr>
                <w:noProof/>
                <w:webHidden/>
              </w:rPr>
              <w:t>7</w:t>
            </w:r>
            <w:r w:rsidR="00EB323B">
              <w:rPr>
                <w:noProof/>
                <w:webHidden/>
              </w:rPr>
              <w:fldChar w:fldCharType="end"/>
            </w:r>
          </w:hyperlink>
        </w:p>
        <w:p w14:paraId="569B7B6B" w14:textId="5EFFE6FB" w:rsidR="00EB323B" w:rsidRDefault="00250A05">
          <w:pPr>
            <w:pStyle w:val="TOC1"/>
            <w:tabs>
              <w:tab w:val="right" w:leader="dot" w:pos="9016"/>
            </w:tabs>
            <w:rPr>
              <w:rFonts w:asciiTheme="minorHAnsi" w:eastAsiaTheme="minorEastAsia" w:hAnsiTheme="minorHAnsi" w:cstheme="minorBidi"/>
              <w:noProof/>
              <w:lang w:eastAsia="en-GB"/>
            </w:rPr>
          </w:pPr>
          <w:hyperlink w:anchor="_Toc54254222" w:history="1">
            <w:r w:rsidR="00EB323B" w:rsidRPr="00BD1DCB">
              <w:rPr>
                <w:rStyle w:val="Hyperlink"/>
                <w:rFonts w:cstheme="minorHAnsi"/>
                <w:b/>
                <w:bCs/>
                <w:noProof/>
              </w:rPr>
              <w:t>Annex A</w:t>
            </w:r>
            <w:r w:rsidR="00EB323B">
              <w:rPr>
                <w:noProof/>
                <w:webHidden/>
              </w:rPr>
              <w:tab/>
            </w:r>
            <w:r w:rsidR="00EB323B">
              <w:rPr>
                <w:noProof/>
                <w:webHidden/>
              </w:rPr>
              <w:fldChar w:fldCharType="begin"/>
            </w:r>
            <w:r w:rsidR="00EB323B">
              <w:rPr>
                <w:noProof/>
                <w:webHidden/>
              </w:rPr>
              <w:instrText xml:space="preserve"> PAGEREF _Toc54254222 \h </w:instrText>
            </w:r>
            <w:r w:rsidR="00EB323B">
              <w:rPr>
                <w:noProof/>
                <w:webHidden/>
              </w:rPr>
            </w:r>
            <w:r w:rsidR="00EB323B">
              <w:rPr>
                <w:noProof/>
                <w:webHidden/>
              </w:rPr>
              <w:fldChar w:fldCharType="separate"/>
            </w:r>
            <w:r w:rsidR="00EB323B">
              <w:rPr>
                <w:noProof/>
                <w:webHidden/>
              </w:rPr>
              <w:t>8</w:t>
            </w:r>
            <w:r w:rsidR="00EB323B">
              <w:rPr>
                <w:noProof/>
                <w:webHidden/>
              </w:rPr>
              <w:fldChar w:fldCharType="end"/>
            </w:r>
          </w:hyperlink>
        </w:p>
        <w:p w14:paraId="25DAA14C" w14:textId="4C2ECB9B" w:rsidR="00EB323B" w:rsidRDefault="00250A05">
          <w:pPr>
            <w:pStyle w:val="TOC2"/>
            <w:tabs>
              <w:tab w:val="right" w:leader="dot" w:pos="9016"/>
            </w:tabs>
            <w:rPr>
              <w:rFonts w:asciiTheme="minorHAnsi" w:eastAsiaTheme="minorEastAsia" w:hAnsiTheme="minorHAnsi" w:cstheme="minorBidi"/>
              <w:noProof/>
              <w:lang w:eastAsia="en-GB"/>
            </w:rPr>
          </w:pPr>
          <w:hyperlink w:anchor="_Toc54254223" w:history="1">
            <w:r w:rsidR="00EB323B" w:rsidRPr="00BD1DCB">
              <w:rPr>
                <w:rStyle w:val="Hyperlink"/>
                <w:rFonts w:cstheme="minorHAnsi"/>
                <w:noProof/>
              </w:rPr>
              <w:t>DHSC Centrally Supplied Flu Stock</w:t>
            </w:r>
            <w:r w:rsidR="00EB323B">
              <w:rPr>
                <w:noProof/>
                <w:webHidden/>
              </w:rPr>
              <w:tab/>
            </w:r>
            <w:r w:rsidR="00EB323B">
              <w:rPr>
                <w:noProof/>
                <w:webHidden/>
              </w:rPr>
              <w:fldChar w:fldCharType="begin"/>
            </w:r>
            <w:r w:rsidR="00EB323B">
              <w:rPr>
                <w:noProof/>
                <w:webHidden/>
              </w:rPr>
              <w:instrText xml:space="preserve"> PAGEREF _Toc54254223 \h </w:instrText>
            </w:r>
            <w:r w:rsidR="00EB323B">
              <w:rPr>
                <w:noProof/>
                <w:webHidden/>
              </w:rPr>
            </w:r>
            <w:r w:rsidR="00EB323B">
              <w:rPr>
                <w:noProof/>
                <w:webHidden/>
              </w:rPr>
              <w:fldChar w:fldCharType="separate"/>
            </w:r>
            <w:r w:rsidR="00EB323B">
              <w:rPr>
                <w:noProof/>
                <w:webHidden/>
              </w:rPr>
              <w:t>8</w:t>
            </w:r>
            <w:r w:rsidR="00EB323B">
              <w:rPr>
                <w:noProof/>
                <w:webHidden/>
              </w:rPr>
              <w:fldChar w:fldCharType="end"/>
            </w:r>
          </w:hyperlink>
        </w:p>
        <w:p w14:paraId="1CC94B90" w14:textId="4F6AA9E3" w:rsidR="002F00DB" w:rsidRDefault="002F00DB">
          <w:pPr>
            <w:rPr>
              <w:rFonts w:asciiTheme="minorHAnsi" w:hAnsiTheme="minorHAnsi" w:cstheme="minorHAnsi"/>
              <w:b/>
              <w:bCs/>
              <w:noProof/>
            </w:rPr>
          </w:pPr>
          <w:r w:rsidRPr="009D337C">
            <w:rPr>
              <w:rFonts w:asciiTheme="minorHAnsi" w:hAnsiTheme="minorHAnsi" w:cstheme="minorHAnsi"/>
              <w:b/>
              <w:bCs/>
              <w:noProof/>
            </w:rPr>
            <w:fldChar w:fldCharType="end"/>
          </w:r>
        </w:p>
      </w:sdtContent>
    </w:sdt>
    <w:p w14:paraId="42F01A81" w14:textId="743B35ED" w:rsidR="00C94A8A" w:rsidRDefault="00C94A8A">
      <w:pPr>
        <w:rPr>
          <w:rFonts w:asciiTheme="minorHAnsi" w:hAnsiTheme="minorHAnsi" w:cstheme="minorHAnsi"/>
          <w:b/>
          <w:bCs/>
          <w:noProof/>
        </w:rPr>
      </w:pPr>
    </w:p>
    <w:bookmarkEnd w:id="0"/>
    <w:p w14:paraId="31F84322" w14:textId="77777777" w:rsidR="00F328D7" w:rsidRDefault="00F328D7">
      <w:pPr>
        <w:suppressAutoHyphens w:val="0"/>
        <w:autoSpaceDN/>
        <w:spacing w:line="259" w:lineRule="auto"/>
        <w:textAlignment w:val="auto"/>
        <w:rPr>
          <w:rFonts w:asciiTheme="minorHAnsi" w:eastAsiaTheme="majorEastAsia" w:hAnsiTheme="minorHAnsi" w:cstheme="minorHAnsi"/>
          <w:b/>
          <w:bCs/>
          <w:color w:val="2F5496" w:themeColor="accent1" w:themeShade="BF"/>
          <w:sz w:val="28"/>
          <w:szCs w:val="28"/>
          <w:lang w:val="en-US"/>
        </w:rPr>
      </w:pPr>
      <w:r>
        <w:rPr>
          <w:rFonts w:asciiTheme="minorHAnsi" w:hAnsiTheme="minorHAnsi" w:cstheme="minorHAnsi"/>
          <w:b/>
          <w:bCs/>
          <w:sz w:val="28"/>
          <w:szCs w:val="28"/>
          <w:lang w:val="en-US"/>
        </w:rPr>
        <w:br w:type="page"/>
      </w:r>
    </w:p>
    <w:p w14:paraId="1D187901" w14:textId="0450ED27" w:rsidR="00A52707" w:rsidRPr="009D337C" w:rsidRDefault="00724D1E" w:rsidP="00724D1E">
      <w:pPr>
        <w:pStyle w:val="Heading1"/>
        <w:rPr>
          <w:rFonts w:asciiTheme="minorHAnsi" w:hAnsiTheme="minorHAnsi" w:cstheme="minorHAnsi"/>
          <w:b/>
          <w:bCs/>
          <w:sz w:val="28"/>
          <w:szCs w:val="28"/>
          <w:lang w:val="en-US"/>
        </w:rPr>
      </w:pPr>
      <w:bookmarkStart w:id="1" w:name="_Toc54254211"/>
      <w:r>
        <w:rPr>
          <w:rFonts w:asciiTheme="minorHAnsi" w:hAnsiTheme="minorHAnsi" w:cstheme="minorHAnsi"/>
          <w:b/>
          <w:bCs/>
          <w:sz w:val="28"/>
          <w:szCs w:val="28"/>
          <w:lang w:val="en-US"/>
        </w:rPr>
        <w:lastRenderedPageBreak/>
        <w:t>Access to additional vaccine supplies</w:t>
      </w:r>
      <w:bookmarkEnd w:id="1"/>
    </w:p>
    <w:p w14:paraId="68279343" w14:textId="221ED9BB" w:rsidR="00E67CA2" w:rsidRPr="001964CE" w:rsidRDefault="00250A05" w:rsidP="001964CE">
      <w:pPr>
        <w:pStyle w:val="Heading2"/>
        <w:spacing w:before="0"/>
        <w:rPr>
          <w:rFonts w:asciiTheme="minorHAnsi" w:hAnsiTheme="minorHAnsi" w:cstheme="minorHAnsi"/>
          <w:bCs/>
          <w:noProof/>
          <w:lang w:eastAsia="en-GB"/>
        </w:rPr>
      </w:pPr>
      <w:hyperlink r:id="rId13" w:anchor="seasonal-influenza" w:history="1">
        <w:bookmarkStart w:id="2" w:name="_Toc54254212"/>
        <w:r w:rsidR="00724D1E" w:rsidRPr="00EB323B">
          <w:rPr>
            <w:rStyle w:val="Hyperlink"/>
            <w:rFonts w:asciiTheme="minorHAnsi" w:hAnsiTheme="minorHAnsi" w:cstheme="minorHAnsi"/>
            <w:bCs/>
            <w:noProof/>
            <w:lang w:eastAsia="en-GB"/>
          </w:rPr>
          <w:t>D</w:t>
        </w:r>
        <w:r w:rsidR="001570D9" w:rsidRPr="00EB323B">
          <w:rPr>
            <w:rStyle w:val="Hyperlink"/>
            <w:rFonts w:asciiTheme="minorHAnsi" w:hAnsiTheme="minorHAnsi" w:cstheme="minorHAnsi"/>
            <w:bCs/>
            <w:noProof/>
            <w:lang w:eastAsia="en-GB"/>
          </w:rPr>
          <w:t>epartment of Health &amp; Social Care (D</w:t>
        </w:r>
        <w:r w:rsidR="00724D1E" w:rsidRPr="00EB323B">
          <w:rPr>
            <w:rStyle w:val="Hyperlink"/>
            <w:rFonts w:asciiTheme="minorHAnsi" w:hAnsiTheme="minorHAnsi" w:cstheme="minorHAnsi"/>
            <w:bCs/>
            <w:noProof/>
            <w:lang w:eastAsia="en-GB"/>
          </w:rPr>
          <w:t>H</w:t>
        </w:r>
        <w:r w:rsidR="001570D9" w:rsidRPr="00EB323B">
          <w:rPr>
            <w:rStyle w:val="Hyperlink"/>
            <w:rFonts w:asciiTheme="minorHAnsi" w:hAnsiTheme="minorHAnsi" w:cstheme="minorHAnsi"/>
            <w:bCs/>
            <w:noProof/>
            <w:lang w:eastAsia="en-GB"/>
          </w:rPr>
          <w:t>S</w:t>
        </w:r>
        <w:r w:rsidR="00724D1E" w:rsidRPr="00EB323B">
          <w:rPr>
            <w:rStyle w:val="Hyperlink"/>
            <w:rFonts w:asciiTheme="minorHAnsi" w:hAnsiTheme="minorHAnsi" w:cstheme="minorHAnsi"/>
            <w:bCs/>
            <w:noProof/>
            <w:lang w:eastAsia="en-GB"/>
          </w:rPr>
          <w:t>C</w:t>
        </w:r>
        <w:r w:rsidR="001570D9" w:rsidRPr="00EB323B">
          <w:rPr>
            <w:rStyle w:val="Hyperlink"/>
            <w:rFonts w:asciiTheme="minorHAnsi" w:hAnsiTheme="minorHAnsi" w:cstheme="minorHAnsi"/>
            <w:bCs/>
            <w:noProof/>
            <w:lang w:eastAsia="en-GB"/>
          </w:rPr>
          <w:t>)</w:t>
        </w:r>
        <w:r w:rsidR="00724D1E" w:rsidRPr="00EB323B">
          <w:rPr>
            <w:rStyle w:val="Hyperlink"/>
            <w:rFonts w:asciiTheme="minorHAnsi" w:hAnsiTheme="minorHAnsi" w:cstheme="minorHAnsi"/>
            <w:bCs/>
            <w:noProof/>
            <w:lang w:eastAsia="en-GB"/>
          </w:rPr>
          <w:t xml:space="preserve"> Letter</w:t>
        </w:r>
        <w:bookmarkEnd w:id="2"/>
      </w:hyperlink>
    </w:p>
    <w:p w14:paraId="429A0010" w14:textId="77777777" w:rsidR="00940920" w:rsidRDefault="001414A5" w:rsidP="001414A5">
      <w:pPr>
        <w:rPr>
          <w:rFonts w:asciiTheme="minorHAnsi" w:hAnsiTheme="minorHAnsi" w:cstheme="minorHAnsi"/>
          <w:lang w:eastAsia="en-GB"/>
        </w:rPr>
      </w:pPr>
      <w:r w:rsidRPr="001414A5">
        <w:rPr>
          <w:rFonts w:asciiTheme="minorHAnsi" w:hAnsiTheme="minorHAnsi" w:cstheme="minorHAnsi"/>
          <w:lang w:eastAsia="en-GB"/>
        </w:rPr>
        <w:t>On 9</w:t>
      </w:r>
      <w:r w:rsidRPr="001414A5">
        <w:rPr>
          <w:rFonts w:asciiTheme="minorHAnsi" w:hAnsiTheme="minorHAnsi" w:cstheme="minorHAnsi"/>
          <w:vertAlign w:val="superscript"/>
          <w:lang w:eastAsia="en-GB"/>
        </w:rPr>
        <w:t>th</w:t>
      </w:r>
      <w:r w:rsidRPr="001414A5">
        <w:rPr>
          <w:rFonts w:asciiTheme="minorHAnsi" w:hAnsiTheme="minorHAnsi" w:cstheme="minorHAnsi"/>
          <w:lang w:eastAsia="en-GB"/>
        </w:rPr>
        <w:t xml:space="preserve"> October NHS England published a detailed letter describing the arrangements in place for GP Practices to access Department of Health &amp; Social Care (DHSC) reserved stocks of additional flu vaccines.   </w:t>
      </w:r>
    </w:p>
    <w:p w14:paraId="3654284B" w14:textId="5EF39B4F" w:rsidR="001414A5" w:rsidRPr="001414A5" w:rsidRDefault="001414A5" w:rsidP="001414A5">
      <w:pPr>
        <w:rPr>
          <w:rFonts w:asciiTheme="minorHAnsi" w:hAnsiTheme="minorHAnsi" w:cstheme="minorHAnsi"/>
          <w:lang w:eastAsia="en-GB"/>
        </w:rPr>
      </w:pPr>
      <w:r w:rsidRPr="001414A5">
        <w:rPr>
          <w:rFonts w:asciiTheme="minorHAnsi" w:hAnsiTheme="minorHAnsi" w:cstheme="minorHAnsi"/>
          <w:lang w:eastAsia="en-GB"/>
        </w:rPr>
        <w:t xml:space="preserve">There are several key points within it that practices should be aware of, including: - </w:t>
      </w:r>
    </w:p>
    <w:p w14:paraId="559A945F" w14:textId="77777777" w:rsidR="001414A5" w:rsidRPr="001414A5" w:rsidRDefault="001414A5" w:rsidP="001414A5">
      <w:pPr>
        <w:rPr>
          <w:rFonts w:asciiTheme="minorHAnsi" w:hAnsiTheme="minorHAnsi" w:cstheme="minorHAnsi"/>
          <w:lang w:eastAsia="en-GB"/>
        </w:rPr>
      </w:pPr>
    </w:p>
    <w:p w14:paraId="263AD329" w14:textId="0E332124" w:rsidR="001414A5" w:rsidRPr="00940920" w:rsidRDefault="001414A5" w:rsidP="00940920">
      <w:pPr>
        <w:pStyle w:val="Heading3"/>
        <w:rPr>
          <w:rFonts w:asciiTheme="minorHAnsi" w:hAnsiTheme="minorHAnsi" w:cstheme="minorHAnsi"/>
          <w:lang w:eastAsia="en-GB"/>
        </w:rPr>
      </w:pPr>
      <w:bookmarkStart w:id="3" w:name="_Toc54254213"/>
      <w:r w:rsidRPr="001414A5">
        <w:rPr>
          <w:rFonts w:asciiTheme="minorHAnsi" w:hAnsiTheme="minorHAnsi" w:cstheme="minorHAnsi"/>
          <w:lang w:eastAsia="en-GB"/>
        </w:rPr>
        <w:t>Ordering</w:t>
      </w:r>
      <w:bookmarkEnd w:id="3"/>
    </w:p>
    <w:p w14:paraId="5A8B2AC2" w14:textId="77777777" w:rsidR="00940920" w:rsidRPr="001414A5" w:rsidRDefault="00940920" w:rsidP="00940920">
      <w:pPr>
        <w:rPr>
          <w:lang w:eastAsia="en-GB"/>
        </w:rPr>
      </w:pPr>
    </w:p>
    <w:p w14:paraId="1DFCBA09" w14:textId="58B41FBF" w:rsidR="001414A5" w:rsidRPr="001414A5" w:rsidRDefault="001414A5" w:rsidP="00940920">
      <w:pPr>
        <w:numPr>
          <w:ilvl w:val="0"/>
          <w:numId w:val="25"/>
        </w:numPr>
        <w:ind w:left="426"/>
        <w:rPr>
          <w:rFonts w:asciiTheme="minorHAnsi" w:hAnsiTheme="minorHAnsi" w:cstheme="minorHAnsi"/>
          <w:lang w:eastAsia="en-GB"/>
        </w:rPr>
      </w:pPr>
      <w:r w:rsidRPr="001414A5">
        <w:rPr>
          <w:rFonts w:asciiTheme="minorHAnsi" w:hAnsiTheme="minorHAnsi" w:cstheme="minorHAnsi"/>
          <w:lang w:eastAsia="en-GB"/>
        </w:rPr>
        <w:t xml:space="preserve">The additional supply of influenza vaccines, which will arrive later in the season is </w:t>
      </w:r>
      <w:r w:rsidR="001570D9">
        <w:rPr>
          <w:rFonts w:asciiTheme="minorHAnsi" w:hAnsiTheme="minorHAnsi" w:cstheme="minorHAnsi"/>
          <w:lang w:eastAsia="en-GB"/>
        </w:rPr>
        <w:t xml:space="preserve">intended </w:t>
      </w:r>
      <w:r w:rsidRPr="001414A5">
        <w:rPr>
          <w:rFonts w:asciiTheme="minorHAnsi" w:hAnsiTheme="minorHAnsi" w:cstheme="minorHAnsi"/>
          <w:lang w:eastAsia="en-GB"/>
        </w:rPr>
        <w:t>to be used to top up local supplies once they run low.</w:t>
      </w:r>
    </w:p>
    <w:p w14:paraId="0379BBE5" w14:textId="1132B603" w:rsidR="001414A5" w:rsidRPr="001414A5" w:rsidRDefault="001414A5" w:rsidP="00940920">
      <w:pPr>
        <w:numPr>
          <w:ilvl w:val="0"/>
          <w:numId w:val="25"/>
        </w:numPr>
        <w:ind w:left="426"/>
        <w:rPr>
          <w:rFonts w:asciiTheme="minorHAnsi" w:hAnsiTheme="minorHAnsi" w:cstheme="minorHAnsi"/>
          <w:b/>
          <w:bCs/>
          <w:lang w:eastAsia="en-GB"/>
        </w:rPr>
      </w:pPr>
      <w:r w:rsidRPr="001414A5">
        <w:rPr>
          <w:rFonts w:asciiTheme="minorHAnsi" w:hAnsiTheme="minorHAnsi" w:cstheme="minorHAnsi"/>
          <w:lang w:eastAsia="en-GB"/>
        </w:rPr>
        <w:t>Practices should only order free DHSC flu vaccines once their own stock orders are depleted.  The majority of vaccine stock should be available in November</w:t>
      </w:r>
      <w:r w:rsidR="007F60F7">
        <w:rPr>
          <w:rFonts w:asciiTheme="minorHAnsi" w:hAnsiTheme="minorHAnsi" w:cstheme="minorHAnsi"/>
          <w:lang w:eastAsia="en-GB"/>
        </w:rPr>
        <w:t>.</w:t>
      </w:r>
    </w:p>
    <w:p w14:paraId="702A04C0" w14:textId="76C6F25B" w:rsidR="001414A5" w:rsidRPr="001414A5" w:rsidRDefault="001414A5" w:rsidP="00940920">
      <w:pPr>
        <w:numPr>
          <w:ilvl w:val="0"/>
          <w:numId w:val="25"/>
        </w:numPr>
        <w:ind w:left="426"/>
        <w:rPr>
          <w:rFonts w:asciiTheme="minorHAnsi" w:hAnsiTheme="minorHAnsi" w:cstheme="minorHAnsi"/>
          <w:lang w:eastAsia="en-GB"/>
        </w:rPr>
      </w:pPr>
      <w:r w:rsidRPr="001414A5">
        <w:rPr>
          <w:rFonts w:asciiTheme="minorHAnsi" w:hAnsiTheme="minorHAnsi" w:cstheme="minorHAnsi"/>
          <w:lang w:eastAsia="en-GB"/>
        </w:rPr>
        <w:t xml:space="preserve">The LMC advises practices to carefully review what stocks they have, including those </w:t>
      </w:r>
      <w:r w:rsidRPr="001414A5">
        <w:rPr>
          <w:rFonts w:asciiTheme="minorHAnsi" w:hAnsiTheme="minorHAnsi" w:cstheme="minorHAnsi"/>
          <w:b/>
          <w:bCs/>
          <w:lang w:eastAsia="en-GB"/>
        </w:rPr>
        <w:t>allocated or committed to known clinics and patients</w:t>
      </w:r>
      <w:r w:rsidRPr="001414A5">
        <w:rPr>
          <w:rFonts w:asciiTheme="minorHAnsi" w:hAnsiTheme="minorHAnsi" w:cstheme="minorHAnsi"/>
          <w:lang w:eastAsia="en-GB"/>
        </w:rPr>
        <w:t xml:space="preserve"> and when that balance has been accounted for and </w:t>
      </w:r>
      <w:r w:rsidR="001570D9">
        <w:rPr>
          <w:rFonts w:asciiTheme="minorHAnsi" w:hAnsiTheme="minorHAnsi" w:cstheme="minorHAnsi"/>
          <w:lang w:eastAsia="en-GB"/>
        </w:rPr>
        <w:t>all in-</w:t>
      </w:r>
      <w:r w:rsidR="00EB323B">
        <w:rPr>
          <w:rFonts w:asciiTheme="minorHAnsi" w:hAnsiTheme="minorHAnsi" w:cstheme="minorHAnsi"/>
          <w:lang w:eastAsia="en-GB"/>
        </w:rPr>
        <w:t>practice</w:t>
      </w:r>
      <w:r w:rsidR="001570D9">
        <w:rPr>
          <w:rFonts w:asciiTheme="minorHAnsi" w:hAnsiTheme="minorHAnsi" w:cstheme="minorHAnsi"/>
          <w:lang w:eastAsia="en-GB"/>
        </w:rPr>
        <w:t xml:space="preserve"> stock depleted </w:t>
      </w:r>
      <w:r w:rsidRPr="001414A5">
        <w:rPr>
          <w:rFonts w:asciiTheme="minorHAnsi" w:hAnsiTheme="minorHAnsi" w:cstheme="minorHAnsi"/>
          <w:lang w:eastAsia="en-GB"/>
        </w:rPr>
        <w:t>, then make an order.</w:t>
      </w:r>
    </w:p>
    <w:p w14:paraId="17051B4F" w14:textId="77777777" w:rsidR="001414A5" w:rsidRPr="001414A5" w:rsidRDefault="001414A5" w:rsidP="00940920">
      <w:pPr>
        <w:numPr>
          <w:ilvl w:val="0"/>
          <w:numId w:val="25"/>
        </w:numPr>
        <w:ind w:left="426"/>
        <w:rPr>
          <w:rFonts w:asciiTheme="minorHAnsi" w:hAnsiTheme="minorHAnsi" w:cstheme="minorHAnsi"/>
          <w:lang w:eastAsia="en-GB"/>
        </w:rPr>
      </w:pPr>
      <w:r w:rsidRPr="001414A5">
        <w:rPr>
          <w:rFonts w:asciiTheme="minorHAnsi" w:hAnsiTheme="minorHAnsi" w:cstheme="minorHAnsi"/>
          <w:lang w:eastAsia="en-GB"/>
        </w:rPr>
        <w:t xml:space="preserve">Wherever possible, do not wait until all actual supplies have been used as the order can take up to 7 days to arrive and this time could be invaluable for continuation of immunisations.  </w:t>
      </w:r>
    </w:p>
    <w:p w14:paraId="39F56C5B" w14:textId="55459E52" w:rsidR="001414A5" w:rsidRPr="001414A5" w:rsidRDefault="001414A5" w:rsidP="00940920">
      <w:pPr>
        <w:numPr>
          <w:ilvl w:val="0"/>
          <w:numId w:val="25"/>
        </w:numPr>
        <w:ind w:left="426"/>
        <w:rPr>
          <w:rFonts w:asciiTheme="minorHAnsi" w:hAnsiTheme="minorHAnsi" w:cstheme="minorHAnsi"/>
          <w:lang w:eastAsia="en-GB"/>
        </w:rPr>
      </w:pPr>
      <w:r w:rsidRPr="001414A5">
        <w:rPr>
          <w:rFonts w:asciiTheme="minorHAnsi" w:hAnsiTheme="minorHAnsi" w:cstheme="minorHAnsi"/>
          <w:lang w:eastAsia="en-GB"/>
        </w:rPr>
        <w:t xml:space="preserve">Practices should only use DHSC stock to vaccinate those patients that fall into </w:t>
      </w:r>
      <w:hyperlink r:id="rId14" w:history="1">
        <w:r w:rsidRPr="00EC14BF">
          <w:rPr>
            <w:rStyle w:val="Hyperlink"/>
            <w:rFonts w:asciiTheme="minorHAnsi" w:hAnsiTheme="minorHAnsi" w:cstheme="minorHAnsi"/>
            <w:lang w:eastAsia="en-GB"/>
          </w:rPr>
          <w:t>eligible groups</w:t>
        </w:r>
      </w:hyperlink>
      <w:r w:rsidR="00A30964">
        <w:rPr>
          <w:rFonts w:asciiTheme="minorHAnsi" w:hAnsiTheme="minorHAnsi" w:cstheme="minorHAnsi"/>
          <w:lang w:eastAsia="en-GB"/>
        </w:rPr>
        <w:t>.</w:t>
      </w:r>
      <w:r w:rsidRPr="001414A5">
        <w:rPr>
          <w:rFonts w:asciiTheme="minorHAnsi" w:hAnsiTheme="minorHAnsi" w:cstheme="minorHAnsi"/>
          <w:lang w:eastAsia="en-GB"/>
        </w:rPr>
        <w:t xml:space="preserve"> </w:t>
      </w:r>
    </w:p>
    <w:p w14:paraId="174AC3EA" w14:textId="77777777" w:rsidR="001414A5" w:rsidRPr="001414A5" w:rsidRDefault="001414A5" w:rsidP="00940920">
      <w:pPr>
        <w:numPr>
          <w:ilvl w:val="0"/>
          <w:numId w:val="25"/>
        </w:numPr>
        <w:ind w:left="426"/>
        <w:rPr>
          <w:rFonts w:asciiTheme="minorHAnsi" w:hAnsiTheme="minorHAnsi" w:cstheme="minorHAnsi"/>
          <w:lang w:eastAsia="en-GB"/>
        </w:rPr>
      </w:pPr>
      <w:r w:rsidRPr="001414A5">
        <w:rPr>
          <w:rFonts w:asciiTheme="minorHAnsi" w:hAnsiTheme="minorHAnsi" w:cstheme="minorHAnsi"/>
          <w:lang w:eastAsia="en-GB"/>
        </w:rPr>
        <w:t xml:space="preserve">There are limits on order levels which the DHSC will monitor carefully, and depending on demand, further constraints may be imposed. </w:t>
      </w:r>
    </w:p>
    <w:p w14:paraId="2A4AAE38" w14:textId="0173E304" w:rsidR="001414A5" w:rsidRPr="001414A5" w:rsidRDefault="001414A5" w:rsidP="00940920">
      <w:pPr>
        <w:numPr>
          <w:ilvl w:val="0"/>
          <w:numId w:val="25"/>
        </w:numPr>
        <w:ind w:left="426"/>
        <w:rPr>
          <w:rFonts w:asciiTheme="minorHAnsi" w:hAnsiTheme="minorHAnsi" w:cstheme="minorHAnsi"/>
          <w:lang w:eastAsia="en-GB"/>
        </w:rPr>
      </w:pPr>
      <w:r w:rsidRPr="001414A5">
        <w:rPr>
          <w:rFonts w:asciiTheme="minorHAnsi" w:hAnsiTheme="minorHAnsi" w:cstheme="minorHAnsi"/>
          <w:lang w:eastAsia="en-GB"/>
        </w:rPr>
        <w:t xml:space="preserve">DHSC stock is available to order from </w:t>
      </w:r>
      <w:hyperlink w:anchor="_DHSC_Centrally_Supplied" w:history="1">
        <w:r w:rsidRPr="009A4857">
          <w:rPr>
            <w:rStyle w:val="Hyperlink"/>
            <w:rFonts w:asciiTheme="minorHAnsi" w:hAnsiTheme="minorHAnsi" w:cstheme="minorHAnsi"/>
            <w:lang w:eastAsia="en-GB"/>
          </w:rPr>
          <w:t>4 different suppliers</w:t>
        </w:r>
      </w:hyperlink>
      <w:r w:rsidRPr="001414A5">
        <w:rPr>
          <w:rFonts w:asciiTheme="minorHAnsi" w:hAnsiTheme="minorHAnsi" w:cstheme="minorHAnsi"/>
          <w:lang w:eastAsia="en-GB"/>
        </w:rPr>
        <w:t xml:space="preserve"> across different products</w:t>
      </w:r>
      <w:r w:rsidR="009A4857">
        <w:rPr>
          <w:rFonts w:asciiTheme="minorHAnsi" w:hAnsiTheme="minorHAnsi" w:cstheme="minorHAnsi"/>
          <w:lang w:eastAsia="en-GB"/>
        </w:rPr>
        <w:t>.</w:t>
      </w:r>
    </w:p>
    <w:p w14:paraId="0E0A5564" w14:textId="77777777" w:rsidR="001414A5" w:rsidRPr="001414A5" w:rsidRDefault="001414A5" w:rsidP="00940920">
      <w:pPr>
        <w:numPr>
          <w:ilvl w:val="0"/>
          <w:numId w:val="25"/>
        </w:numPr>
        <w:ind w:left="426"/>
        <w:rPr>
          <w:rFonts w:asciiTheme="minorHAnsi" w:hAnsiTheme="minorHAnsi" w:cstheme="minorHAnsi"/>
          <w:lang w:eastAsia="en-GB"/>
        </w:rPr>
      </w:pPr>
      <w:r w:rsidRPr="001414A5">
        <w:rPr>
          <w:rFonts w:asciiTheme="minorHAnsi" w:hAnsiTheme="minorHAnsi" w:cstheme="minorHAnsi"/>
          <w:lang w:eastAsia="en-GB"/>
        </w:rPr>
        <w:t>Minimum and maximum quantities have been stipulated by each provider</w:t>
      </w:r>
    </w:p>
    <w:p w14:paraId="3D7A95E6" w14:textId="655BD0E4" w:rsidR="001414A5" w:rsidRPr="001414A5" w:rsidRDefault="001414A5" w:rsidP="00940920">
      <w:pPr>
        <w:numPr>
          <w:ilvl w:val="0"/>
          <w:numId w:val="25"/>
        </w:numPr>
        <w:ind w:left="426"/>
        <w:rPr>
          <w:rFonts w:asciiTheme="minorHAnsi" w:hAnsiTheme="minorHAnsi" w:cstheme="minorHAnsi"/>
          <w:lang w:eastAsia="en-GB"/>
        </w:rPr>
      </w:pPr>
      <w:r w:rsidRPr="001414A5">
        <w:rPr>
          <w:rFonts w:asciiTheme="minorHAnsi" w:hAnsiTheme="minorHAnsi" w:cstheme="minorHAnsi"/>
          <w:lang w:eastAsia="en-GB"/>
        </w:rPr>
        <w:t xml:space="preserve">Expected first delivery dates to DHSC are indicative as products are currently being manufactured, so amendments to minimum and maximum amounts may change over the season </w:t>
      </w:r>
      <w:r w:rsidR="00940920" w:rsidRPr="001414A5">
        <w:rPr>
          <w:rFonts w:asciiTheme="minorHAnsi" w:hAnsiTheme="minorHAnsi" w:cstheme="minorHAnsi"/>
          <w:lang w:eastAsia="en-GB"/>
        </w:rPr>
        <w:t>to</w:t>
      </w:r>
      <w:r w:rsidRPr="001414A5">
        <w:rPr>
          <w:rFonts w:asciiTheme="minorHAnsi" w:hAnsiTheme="minorHAnsi" w:cstheme="minorHAnsi"/>
          <w:lang w:eastAsia="en-GB"/>
        </w:rPr>
        <w:t xml:space="preserve"> manage this.</w:t>
      </w:r>
    </w:p>
    <w:p w14:paraId="22D577B7" w14:textId="5EE3A64C" w:rsidR="001414A5" w:rsidRDefault="001414A5" w:rsidP="00940920">
      <w:pPr>
        <w:numPr>
          <w:ilvl w:val="0"/>
          <w:numId w:val="25"/>
        </w:numPr>
        <w:ind w:left="426"/>
        <w:rPr>
          <w:rFonts w:asciiTheme="minorHAnsi" w:hAnsiTheme="minorHAnsi" w:cstheme="minorHAnsi"/>
          <w:lang w:eastAsia="en-GB"/>
        </w:rPr>
      </w:pPr>
      <w:r w:rsidRPr="001414A5">
        <w:rPr>
          <w:rFonts w:asciiTheme="minorHAnsi" w:hAnsiTheme="minorHAnsi" w:cstheme="minorHAnsi"/>
          <w:lang w:eastAsia="en-GB"/>
        </w:rPr>
        <w:t>If, as a singlehanded practice or following accurate in-house calculations, a practice finds that it requires below the minimum order level, we recommend that practices check locally for a partner to share the order by local arrangement. This will require detailed logging of vaccine numbers and careful storage and transfer processes</w:t>
      </w:r>
      <w:r w:rsidR="001570D9">
        <w:rPr>
          <w:rFonts w:asciiTheme="minorHAnsi" w:hAnsiTheme="minorHAnsi" w:cstheme="minorHAnsi"/>
          <w:lang w:eastAsia="en-GB"/>
        </w:rPr>
        <w:t>,</w:t>
      </w:r>
      <w:r w:rsidRPr="001414A5">
        <w:rPr>
          <w:rFonts w:asciiTheme="minorHAnsi" w:hAnsiTheme="minorHAnsi" w:cstheme="minorHAnsi"/>
          <w:lang w:eastAsia="en-GB"/>
        </w:rPr>
        <w:t xml:space="preserve"> as detailed in previous versions of these guides. </w:t>
      </w:r>
    </w:p>
    <w:p w14:paraId="1168CE1B" w14:textId="249FA0EB" w:rsidR="001B4A00" w:rsidRPr="001B4A00" w:rsidRDefault="001B4A00" w:rsidP="001B4A00">
      <w:pPr>
        <w:pStyle w:val="ListParagraph"/>
        <w:numPr>
          <w:ilvl w:val="0"/>
          <w:numId w:val="25"/>
        </w:numPr>
        <w:ind w:left="426" w:hanging="426"/>
        <w:rPr>
          <w:rFonts w:eastAsiaTheme="minorHAnsi"/>
        </w:rPr>
      </w:pPr>
      <w:r w:rsidRPr="001B4A00">
        <w:rPr>
          <w:rFonts w:asciiTheme="minorHAnsi" w:hAnsiTheme="minorHAnsi" w:cstheme="minorHAnsi"/>
          <w:lang w:eastAsia="en-GB"/>
        </w:rPr>
        <w:t xml:space="preserve">Alternatively,  </w:t>
      </w:r>
      <w:r w:rsidRPr="001B4A00">
        <w:t xml:space="preserve">Practices can use the generic </w:t>
      </w:r>
      <w:r>
        <w:t xml:space="preserve">email address </w:t>
      </w:r>
      <w:hyperlink r:id="rId15" w:history="1">
        <w:r w:rsidRPr="001B4A00">
          <w:rPr>
            <w:rStyle w:val="Hyperlink"/>
            <w:rFonts w:ascii="Segoe UI" w:hAnsi="Segoe UI" w:cs="Segoe UI"/>
            <w:sz w:val="21"/>
            <w:szCs w:val="21"/>
            <w:lang w:eastAsia="en-GB"/>
          </w:rPr>
          <w:t>phe.screening-immsssat@nhs.net</w:t>
        </w:r>
      </w:hyperlink>
      <w:r w:rsidRPr="001B4A00">
        <w:rPr>
          <w:rFonts w:ascii="Segoe UI" w:hAnsi="Segoe UI" w:cs="Segoe UI"/>
          <w:sz w:val="21"/>
          <w:szCs w:val="21"/>
          <w:lang w:eastAsia="en-GB"/>
        </w:rPr>
        <w:t xml:space="preserve"> </w:t>
      </w:r>
      <w:r w:rsidRPr="001B4A00">
        <w:t>to request NHSEI intervention for them to access additional stocks</w:t>
      </w:r>
      <w:r>
        <w:t>, This may be</w:t>
      </w:r>
      <w:r w:rsidRPr="001B4A00">
        <w:t xml:space="preserve"> if </w:t>
      </w:r>
      <w:r>
        <w:t xml:space="preserve">there has been </w:t>
      </w:r>
      <w:r w:rsidRPr="001B4A00">
        <w:t xml:space="preserve"> a cold chain incident for example or </w:t>
      </w:r>
      <w:r>
        <w:t xml:space="preserve">if there is a need </w:t>
      </w:r>
      <w:r w:rsidRPr="001B4A00">
        <w:t xml:space="preserve">to place an order which is lower than the minimum order level from vaccine manufacturers. </w:t>
      </w:r>
      <w:r>
        <w:t xml:space="preserve">They </w:t>
      </w:r>
      <w:r w:rsidRPr="001B4A00">
        <w:t>will then liaise with the national flu single point of contact (SPOC) for their order to be approved.</w:t>
      </w:r>
    </w:p>
    <w:p w14:paraId="725E752E" w14:textId="77777777" w:rsidR="001414A5" w:rsidRPr="001414A5" w:rsidRDefault="001414A5" w:rsidP="00940920">
      <w:pPr>
        <w:numPr>
          <w:ilvl w:val="0"/>
          <w:numId w:val="25"/>
        </w:numPr>
        <w:ind w:left="426"/>
        <w:rPr>
          <w:rFonts w:asciiTheme="minorHAnsi" w:hAnsiTheme="minorHAnsi" w:cstheme="minorHAnsi"/>
          <w:lang w:eastAsia="en-GB"/>
        </w:rPr>
      </w:pPr>
      <w:r w:rsidRPr="001414A5">
        <w:rPr>
          <w:rFonts w:asciiTheme="minorHAnsi" w:hAnsiTheme="minorHAnsi" w:cstheme="minorHAnsi"/>
          <w:lang w:eastAsia="en-GB"/>
        </w:rPr>
        <w:t xml:space="preserve">Practices are not allowed to return any originally ordered stock to manufacturers, </w:t>
      </w:r>
      <w:r w:rsidRPr="001414A5">
        <w:rPr>
          <w:rFonts w:asciiTheme="minorHAnsi" w:hAnsiTheme="minorHAnsi" w:cstheme="minorHAnsi"/>
          <w:i/>
          <w:iCs/>
          <w:lang w:eastAsia="en-GB"/>
        </w:rPr>
        <w:t xml:space="preserve">before </w:t>
      </w:r>
      <w:r w:rsidRPr="001414A5">
        <w:rPr>
          <w:rFonts w:asciiTheme="minorHAnsi" w:hAnsiTheme="minorHAnsi" w:cstheme="minorHAnsi"/>
          <w:lang w:eastAsia="en-GB"/>
        </w:rPr>
        <w:t>placing any centrally sourced vaccines.</w:t>
      </w:r>
    </w:p>
    <w:p w14:paraId="2CC24D6A" w14:textId="77777777" w:rsidR="001414A5" w:rsidRPr="001414A5" w:rsidRDefault="001414A5" w:rsidP="00940920">
      <w:pPr>
        <w:numPr>
          <w:ilvl w:val="0"/>
          <w:numId w:val="25"/>
        </w:numPr>
        <w:ind w:left="426"/>
        <w:rPr>
          <w:rFonts w:asciiTheme="minorHAnsi" w:hAnsiTheme="minorHAnsi" w:cstheme="minorHAnsi"/>
          <w:lang w:eastAsia="en-GB"/>
        </w:rPr>
      </w:pPr>
      <w:r w:rsidRPr="001414A5">
        <w:rPr>
          <w:rFonts w:asciiTheme="minorHAnsi" w:hAnsiTheme="minorHAnsi" w:cstheme="minorHAnsi"/>
          <w:lang w:eastAsia="en-GB"/>
        </w:rPr>
        <w:t>Neither will practices be able to return any unused DHSC flu vaccines; practices should aim not to place more than one DHSC order every 2 weeks</w:t>
      </w:r>
    </w:p>
    <w:p w14:paraId="35209DF8" w14:textId="6B266761" w:rsidR="001414A5" w:rsidRPr="001414A5" w:rsidRDefault="001414A5" w:rsidP="00940920">
      <w:pPr>
        <w:numPr>
          <w:ilvl w:val="0"/>
          <w:numId w:val="25"/>
        </w:numPr>
        <w:ind w:left="426"/>
        <w:rPr>
          <w:rFonts w:asciiTheme="minorHAnsi" w:hAnsiTheme="minorHAnsi" w:cstheme="minorHAnsi"/>
          <w:lang w:eastAsia="en-GB"/>
        </w:rPr>
      </w:pPr>
      <w:r w:rsidRPr="001414A5">
        <w:rPr>
          <w:rFonts w:asciiTheme="minorHAnsi" w:hAnsiTheme="minorHAnsi" w:cstheme="minorHAnsi"/>
          <w:lang w:eastAsia="en-GB"/>
        </w:rPr>
        <w:t xml:space="preserve">The sum of </w:t>
      </w:r>
      <w:r w:rsidR="00EC14BF" w:rsidRPr="001414A5">
        <w:rPr>
          <w:rFonts w:asciiTheme="minorHAnsi" w:hAnsiTheme="minorHAnsi" w:cstheme="minorHAnsi"/>
          <w:lang w:eastAsia="en-GB"/>
        </w:rPr>
        <w:t>all</w:t>
      </w:r>
      <w:r w:rsidRPr="001414A5">
        <w:rPr>
          <w:rFonts w:asciiTheme="minorHAnsi" w:hAnsiTheme="minorHAnsi" w:cstheme="minorHAnsi"/>
          <w:lang w:eastAsia="en-GB"/>
        </w:rPr>
        <w:t xml:space="preserve"> the </w:t>
      </w:r>
      <w:r w:rsidR="00940920" w:rsidRPr="001414A5">
        <w:rPr>
          <w:rFonts w:asciiTheme="minorHAnsi" w:hAnsiTheme="minorHAnsi" w:cstheme="minorHAnsi"/>
          <w:lang w:eastAsia="en-GB"/>
        </w:rPr>
        <w:t>practice’s</w:t>
      </w:r>
      <w:r w:rsidRPr="001414A5">
        <w:rPr>
          <w:rFonts w:asciiTheme="minorHAnsi" w:hAnsiTheme="minorHAnsi" w:cstheme="minorHAnsi"/>
          <w:lang w:eastAsia="en-GB"/>
        </w:rPr>
        <w:t xml:space="preserve"> orders should not exceed 10% of their total registered list.  </w:t>
      </w:r>
    </w:p>
    <w:p w14:paraId="3F59115B" w14:textId="77777777" w:rsidR="001414A5" w:rsidRPr="001414A5" w:rsidRDefault="001414A5" w:rsidP="00940920">
      <w:pPr>
        <w:numPr>
          <w:ilvl w:val="0"/>
          <w:numId w:val="25"/>
        </w:numPr>
        <w:ind w:left="426"/>
        <w:rPr>
          <w:rFonts w:asciiTheme="minorHAnsi" w:hAnsiTheme="minorHAnsi" w:cstheme="minorHAnsi"/>
          <w:lang w:eastAsia="en-GB"/>
        </w:rPr>
      </w:pPr>
      <w:r w:rsidRPr="001414A5">
        <w:rPr>
          <w:rFonts w:asciiTheme="minorHAnsi" w:hAnsiTheme="minorHAnsi" w:cstheme="minorHAnsi"/>
          <w:lang w:eastAsia="en-GB"/>
        </w:rPr>
        <w:t>A declaration must be signed by the practice before the order can be processed.</w:t>
      </w:r>
    </w:p>
    <w:p w14:paraId="56FB96DD" w14:textId="65E021D1" w:rsidR="001414A5" w:rsidRDefault="001414A5" w:rsidP="001414A5">
      <w:pPr>
        <w:rPr>
          <w:rFonts w:asciiTheme="minorHAnsi" w:hAnsiTheme="minorHAnsi" w:cstheme="minorHAnsi"/>
          <w:lang w:eastAsia="en-GB"/>
        </w:rPr>
      </w:pPr>
    </w:p>
    <w:p w14:paraId="31CE1FD5" w14:textId="77777777" w:rsidR="00550B1D" w:rsidRDefault="00550B1D" w:rsidP="00940920">
      <w:pPr>
        <w:pStyle w:val="Heading3"/>
        <w:rPr>
          <w:rFonts w:asciiTheme="minorHAnsi" w:hAnsiTheme="minorHAnsi" w:cstheme="minorHAnsi"/>
          <w:lang w:eastAsia="en-GB"/>
        </w:rPr>
      </w:pPr>
    </w:p>
    <w:p w14:paraId="04DAC5DA" w14:textId="77777777" w:rsidR="00550B1D" w:rsidRDefault="00550B1D" w:rsidP="00940920">
      <w:pPr>
        <w:pStyle w:val="Heading3"/>
        <w:rPr>
          <w:rFonts w:asciiTheme="minorHAnsi" w:hAnsiTheme="minorHAnsi" w:cstheme="minorHAnsi"/>
          <w:lang w:eastAsia="en-GB"/>
        </w:rPr>
      </w:pPr>
    </w:p>
    <w:p w14:paraId="0538A63F" w14:textId="77777777" w:rsidR="00550B1D" w:rsidRDefault="00550B1D" w:rsidP="00940920">
      <w:pPr>
        <w:pStyle w:val="Heading3"/>
        <w:rPr>
          <w:rFonts w:asciiTheme="minorHAnsi" w:hAnsiTheme="minorHAnsi" w:cstheme="minorHAnsi"/>
          <w:lang w:eastAsia="en-GB"/>
        </w:rPr>
      </w:pPr>
    </w:p>
    <w:p w14:paraId="0CD78F14" w14:textId="57E4F284" w:rsidR="001414A5" w:rsidRDefault="001414A5" w:rsidP="00940920">
      <w:pPr>
        <w:pStyle w:val="Heading3"/>
        <w:rPr>
          <w:rFonts w:asciiTheme="minorHAnsi" w:hAnsiTheme="minorHAnsi" w:cstheme="minorHAnsi"/>
          <w:lang w:eastAsia="en-GB"/>
        </w:rPr>
      </w:pPr>
      <w:bookmarkStart w:id="4" w:name="_Toc54254214"/>
      <w:r w:rsidRPr="001414A5">
        <w:rPr>
          <w:rFonts w:asciiTheme="minorHAnsi" w:hAnsiTheme="minorHAnsi" w:cstheme="minorHAnsi"/>
          <w:lang w:eastAsia="en-GB"/>
        </w:rPr>
        <w:t>Claiming &amp; payment processes</w:t>
      </w:r>
      <w:bookmarkEnd w:id="4"/>
      <w:r w:rsidRPr="001414A5">
        <w:rPr>
          <w:rFonts w:asciiTheme="minorHAnsi" w:hAnsiTheme="minorHAnsi" w:cstheme="minorHAnsi"/>
          <w:lang w:eastAsia="en-GB"/>
        </w:rPr>
        <w:t xml:space="preserve"> </w:t>
      </w:r>
    </w:p>
    <w:p w14:paraId="0A4634EA" w14:textId="3A8A7A06" w:rsidR="00940920" w:rsidRPr="00940920" w:rsidRDefault="00940920" w:rsidP="00940920">
      <w:pPr>
        <w:rPr>
          <w:lang w:eastAsia="en-GB"/>
        </w:rPr>
      </w:pPr>
    </w:p>
    <w:p w14:paraId="30ADA997" w14:textId="02957C6D" w:rsidR="001414A5" w:rsidRPr="001414A5" w:rsidRDefault="001414A5" w:rsidP="00940920">
      <w:pPr>
        <w:numPr>
          <w:ilvl w:val="0"/>
          <w:numId w:val="26"/>
        </w:numPr>
        <w:ind w:left="426" w:hanging="338"/>
        <w:rPr>
          <w:rFonts w:asciiTheme="minorHAnsi" w:hAnsiTheme="minorHAnsi" w:cstheme="minorHAnsi"/>
          <w:lang w:eastAsia="en-GB"/>
        </w:rPr>
      </w:pPr>
      <w:r w:rsidRPr="001414A5">
        <w:rPr>
          <w:rFonts w:asciiTheme="minorHAnsi" w:hAnsiTheme="minorHAnsi" w:cstheme="minorHAnsi"/>
          <w:lang w:eastAsia="en-GB"/>
        </w:rPr>
        <w:t xml:space="preserve">Payment arrangements under the DES remain unchanged as a £10.06 Item of Service payment. GP practices will be provided with the DHSC vaccines free of charge but will only be able to claim an item of service fee for each DHSC supplied vaccine that is administered. </w:t>
      </w:r>
    </w:p>
    <w:p w14:paraId="114FDDC0" w14:textId="0E035B74" w:rsidR="001414A5" w:rsidRPr="001414A5" w:rsidRDefault="001414A5" w:rsidP="00940920">
      <w:pPr>
        <w:numPr>
          <w:ilvl w:val="0"/>
          <w:numId w:val="26"/>
        </w:numPr>
        <w:ind w:left="426" w:hanging="338"/>
        <w:rPr>
          <w:rFonts w:asciiTheme="minorHAnsi" w:hAnsiTheme="minorHAnsi" w:cstheme="minorHAnsi"/>
          <w:lang w:eastAsia="en-GB"/>
        </w:rPr>
      </w:pPr>
      <w:r w:rsidRPr="001414A5">
        <w:rPr>
          <w:rFonts w:asciiTheme="minorHAnsi" w:hAnsiTheme="minorHAnsi" w:cstheme="minorHAnsi"/>
          <w:lang w:eastAsia="en-GB"/>
        </w:rPr>
        <w:t xml:space="preserve">Please </w:t>
      </w:r>
      <w:r w:rsidR="00940920" w:rsidRPr="001414A5">
        <w:rPr>
          <w:rFonts w:asciiTheme="minorHAnsi" w:hAnsiTheme="minorHAnsi" w:cstheme="minorHAnsi"/>
          <w:lang w:eastAsia="en-GB"/>
        </w:rPr>
        <w:t>note,</w:t>
      </w:r>
      <w:r w:rsidRPr="001414A5">
        <w:rPr>
          <w:rFonts w:asciiTheme="minorHAnsi" w:hAnsiTheme="minorHAnsi" w:cstheme="minorHAnsi"/>
          <w:lang w:eastAsia="en-GB"/>
        </w:rPr>
        <w:t xml:space="preserve"> the four flu-related QOF indicator points values are doubled; and the PCN wide &gt;65-year incentive payment under the Investment and Impact Fund (IIF) has been confirmed.</w:t>
      </w:r>
    </w:p>
    <w:p w14:paraId="3FFAC4B3" w14:textId="5344B04B" w:rsidR="001414A5" w:rsidRPr="001414A5" w:rsidRDefault="001414A5" w:rsidP="00940920">
      <w:pPr>
        <w:numPr>
          <w:ilvl w:val="0"/>
          <w:numId w:val="26"/>
        </w:numPr>
        <w:ind w:left="426" w:hanging="338"/>
        <w:rPr>
          <w:rFonts w:asciiTheme="minorHAnsi" w:hAnsiTheme="minorHAnsi" w:cstheme="minorHAnsi"/>
          <w:lang w:eastAsia="en-GB"/>
        </w:rPr>
      </w:pPr>
      <w:r w:rsidRPr="001414A5">
        <w:rPr>
          <w:rFonts w:asciiTheme="minorHAnsi" w:hAnsiTheme="minorHAnsi" w:cstheme="minorHAnsi"/>
          <w:lang w:eastAsia="en-GB"/>
        </w:rPr>
        <w:t>Practices can claim the DES Item of Service</w:t>
      </w:r>
      <w:r w:rsidR="007F60F7">
        <w:rPr>
          <w:rFonts w:asciiTheme="minorHAnsi" w:hAnsiTheme="minorHAnsi" w:cstheme="minorHAnsi"/>
          <w:lang w:eastAsia="en-GB"/>
        </w:rPr>
        <w:t xml:space="preserve"> (IOS)</w:t>
      </w:r>
      <w:r w:rsidRPr="001414A5">
        <w:rPr>
          <w:rFonts w:asciiTheme="minorHAnsi" w:hAnsiTheme="minorHAnsi" w:cstheme="minorHAnsi"/>
          <w:lang w:eastAsia="en-GB"/>
        </w:rPr>
        <w:t xml:space="preserve"> fee of £10.06 but not any other reimbursements in relation to the DHSC vaccines, which are provided free. Full details of how to claim fees is </w:t>
      </w:r>
      <w:hyperlink r:id="rId16" w:history="1">
        <w:r w:rsidR="00940920" w:rsidRPr="00E940E7">
          <w:rPr>
            <w:rStyle w:val="Hyperlink"/>
            <w:rFonts w:asciiTheme="minorHAnsi" w:hAnsiTheme="minorHAnsi" w:cstheme="minorHAnsi"/>
            <w:lang w:eastAsia="en-GB"/>
          </w:rPr>
          <w:t>here</w:t>
        </w:r>
      </w:hyperlink>
      <w:r w:rsidR="00E940E7">
        <w:rPr>
          <w:rFonts w:asciiTheme="minorHAnsi" w:hAnsiTheme="minorHAnsi" w:cstheme="minorHAnsi"/>
          <w:lang w:eastAsia="en-GB"/>
        </w:rPr>
        <w:t>.</w:t>
      </w:r>
    </w:p>
    <w:p w14:paraId="4E185F0A" w14:textId="4CE6621C" w:rsidR="00343819" w:rsidRDefault="001414A5" w:rsidP="001414A5">
      <w:pPr>
        <w:rPr>
          <w:rFonts w:asciiTheme="minorHAnsi" w:hAnsiTheme="minorHAnsi" w:cstheme="minorHAnsi"/>
          <w:lang w:eastAsia="en-GB"/>
        </w:rPr>
      </w:pPr>
      <w:r w:rsidRPr="001414A5">
        <w:rPr>
          <w:rFonts w:asciiTheme="minorHAnsi" w:hAnsiTheme="minorHAnsi" w:cstheme="minorHAnsi"/>
          <w:lang w:eastAsia="en-GB"/>
        </w:rPr>
        <w:t xml:space="preserve">Practices will have to </w:t>
      </w:r>
      <w:hyperlink r:id="rId17" w:history="1">
        <w:r w:rsidRPr="00A30327">
          <w:rPr>
            <w:rStyle w:val="Hyperlink"/>
            <w:rFonts w:asciiTheme="minorHAnsi" w:hAnsiTheme="minorHAnsi" w:cstheme="minorHAnsi"/>
            <w:lang w:eastAsia="en-GB"/>
          </w:rPr>
          <w:t>sign a declaration</w:t>
        </w:r>
      </w:hyperlink>
      <w:r w:rsidRPr="001414A5">
        <w:rPr>
          <w:rFonts w:asciiTheme="minorHAnsi" w:hAnsiTheme="minorHAnsi" w:cstheme="minorHAnsi"/>
          <w:lang w:eastAsia="en-GB"/>
        </w:rPr>
        <w:t xml:space="preserve"> </w:t>
      </w:r>
      <w:r w:rsidR="00DD7FCF" w:rsidRPr="001414A5">
        <w:rPr>
          <w:rFonts w:asciiTheme="minorHAnsi" w:hAnsiTheme="minorHAnsi" w:cstheme="minorHAnsi"/>
          <w:lang w:eastAsia="en-GB"/>
        </w:rPr>
        <w:t>to</w:t>
      </w:r>
      <w:r w:rsidRPr="001414A5">
        <w:rPr>
          <w:rFonts w:asciiTheme="minorHAnsi" w:hAnsiTheme="minorHAnsi" w:cstheme="minorHAnsi"/>
          <w:lang w:eastAsia="en-GB"/>
        </w:rPr>
        <w:t xml:space="preserve"> obtain DHSC vaccine supplies </w:t>
      </w:r>
      <w:r w:rsidR="00DD7FCF">
        <w:rPr>
          <w:rFonts w:asciiTheme="minorHAnsi" w:hAnsiTheme="minorHAnsi" w:cstheme="minorHAnsi"/>
          <w:lang w:eastAsia="en-GB"/>
        </w:rPr>
        <w:t>which</w:t>
      </w:r>
      <w:r w:rsidRPr="001414A5">
        <w:rPr>
          <w:rFonts w:asciiTheme="minorHAnsi" w:hAnsiTheme="minorHAnsi" w:cstheme="minorHAnsi"/>
          <w:lang w:eastAsia="en-GB"/>
        </w:rPr>
        <w:t xml:space="preserve"> describes the way such vaccines should be ordered and used.  </w:t>
      </w:r>
    </w:p>
    <w:p w14:paraId="2A801CA0" w14:textId="77777777" w:rsidR="002E7945" w:rsidRDefault="002E7945" w:rsidP="001414A5">
      <w:pPr>
        <w:rPr>
          <w:rFonts w:asciiTheme="minorHAnsi" w:hAnsiTheme="minorHAnsi" w:cstheme="minorHAnsi"/>
          <w:b/>
          <w:bCs/>
          <w:lang w:eastAsia="en-GB"/>
        </w:rPr>
      </w:pPr>
    </w:p>
    <w:p w14:paraId="43390EAC" w14:textId="694E6EC4" w:rsidR="00343819" w:rsidRDefault="00343819" w:rsidP="001414A5">
      <w:pPr>
        <w:rPr>
          <w:rFonts w:asciiTheme="minorHAnsi" w:hAnsiTheme="minorHAnsi" w:cstheme="minorHAnsi"/>
          <w:b/>
          <w:bCs/>
          <w:lang w:eastAsia="en-GB"/>
        </w:rPr>
      </w:pPr>
      <w:r w:rsidRPr="00343819">
        <w:rPr>
          <w:rFonts w:asciiTheme="minorHAnsi" w:hAnsiTheme="minorHAnsi" w:cstheme="minorHAnsi"/>
          <w:b/>
          <w:bCs/>
          <w:lang w:eastAsia="en-GB"/>
        </w:rPr>
        <w:t xml:space="preserve">Claiming process from central Flu vaccine supply </w:t>
      </w:r>
    </w:p>
    <w:p w14:paraId="00FC31AB" w14:textId="77777777" w:rsidR="00550B1D" w:rsidRDefault="00550B1D" w:rsidP="001414A5">
      <w:pPr>
        <w:rPr>
          <w:rFonts w:asciiTheme="minorHAnsi" w:hAnsiTheme="minorHAnsi" w:cstheme="minorHAnsi"/>
          <w:b/>
          <w:bCs/>
          <w:lang w:eastAsia="en-GB"/>
        </w:rPr>
      </w:pPr>
    </w:p>
    <w:p w14:paraId="3F91F40B" w14:textId="23780020" w:rsidR="002E7945" w:rsidRPr="00343819" w:rsidRDefault="00B87D4F" w:rsidP="001414A5">
      <w:pPr>
        <w:rPr>
          <w:rFonts w:asciiTheme="minorHAnsi" w:hAnsiTheme="minorHAnsi" w:cstheme="minorHAnsi"/>
          <w:b/>
          <w:bCs/>
          <w:lang w:eastAsia="en-GB"/>
        </w:rPr>
      </w:pPr>
      <w:r>
        <w:rPr>
          <w:rFonts w:asciiTheme="minorHAnsi" w:hAnsiTheme="minorHAnsi" w:cstheme="minorHAnsi"/>
          <w:b/>
          <w:bCs/>
          <w:noProof/>
          <w:lang w:eastAsia="en-GB"/>
        </w:rPr>
        <w:drawing>
          <wp:inline distT="0" distB="0" distL="0" distR="0" wp14:anchorId="4DA99BDF" wp14:editId="41B4EC25">
            <wp:extent cx="6219645" cy="40195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9506588" w14:textId="1D5AC161" w:rsidR="00343819" w:rsidRDefault="00343819" w:rsidP="001414A5">
      <w:pPr>
        <w:rPr>
          <w:rFonts w:asciiTheme="minorHAnsi" w:hAnsiTheme="minorHAnsi" w:cstheme="minorHAnsi"/>
          <w:lang w:eastAsia="en-GB"/>
        </w:rPr>
      </w:pPr>
    </w:p>
    <w:p w14:paraId="3DB961CF" w14:textId="0BEA0530" w:rsidR="00550B1D" w:rsidRDefault="00550B1D" w:rsidP="001414A5">
      <w:pPr>
        <w:rPr>
          <w:rFonts w:asciiTheme="minorHAnsi" w:hAnsiTheme="minorHAnsi" w:cstheme="minorHAnsi"/>
          <w:lang w:eastAsia="en-GB"/>
        </w:rPr>
      </w:pPr>
    </w:p>
    <w:p w14:paraId="2BD5C4C0" w14:textId="1C5CA152" w:rsidR="00550B1D" w:rsidRDefault="00550B1D" w:rsidP="001414A5">
      <w:pPr>
        <w:rPr>
          <w:rFonts w:asciiTheme="minorHAnsi" w:hAnsiTheme="minorHAnsi" w:cstheme="minorHAnsi"/>
          <w:lang w:eastAsia="en-GB"/>
        </w:rPr>
      </w:pPr>
    </w:p>
    <w:p w14:paraId="28A58BCD" w14:textId="77777777" w:rsidR="00550B1D" w:rsidRDefault="00550B1D" w:rsidP="001414A5">
      <w:pPr>
        <w:rPr>
          <w:rFonts w:asciiTheme="minorHAnsi" w:hAnsiTheme="minorHAnsi" w:cstheme="minorHAnsi"/>
          <w:lang w:eastAsia="en-GB"/>
        </w:rPr>
      </w:pPr>
    </w:p>
    <w:p w14:paraId="3874AD6D" w14:textId="4268BA2B" w:rsidR="001414A5" w:rsidRPr="00940920" w:rsidRDefault="001414A5" w:rsidP="00940920">
      <w:pPr>
        <w:pStyle w:val="Heading3"/>
        <w:rPr>
          <w:rFonts w:asciiTheme="minorHAnsi" w:hAnsiTheme="minorHAnsi" w:cstheme="minorHAnsi"/>
          <w:lang w:eastAsia="en-GB"/>
        </w:rPr>
      </w:pPr>
      <w:bookmarkStart w:id="5" w:name="_Toc54254215"/>
      <w:r w:rsidRPr="001414A5">
        <w:rPr>
          <w:rFonts w:asciiTheme="minorHAnsi" w:hAnsiTheme="minorHAnsi" w:cstheme="minorHAnsi"/>
          <w:lang w:eastAsia="en-GB"/>
        </w:rPr>
        <w:t>Auditing</w:t>
      </w:r>
      <w:bookmarkEnd w:id="5"/>
      <w:r w:rsidRPr="001414A5">
        <w:rPr>
          <w:rFonts w:asciiTheme="minorHAnsi" w:hAnsiTheme="minorHAnsi" w:cstheme="minorHAnsi"/>
          <w:lang w:eastAsia="en-GB"/>
        </w:rPr>
        <w:t xml:space="preserve"> </w:t>
      </w:r>
    </w:p>
    <w:p w14:paraId="46BAD033" w14:textId="77777777" w:rsidR="00940920" w:rsidRPr="001414A5" w:rsidRDefault="00940920" w:rsidP="00940920">
      <w:pPr>
        <w:rPr>
          <w:lang w:eastAsia="en-GB"/>
        </w:rPr>
      </w:pPr>
    </w:p>
    <w:p w14:paraId="51C1DC7B" w14:textId="126B92BE" w:rsidR="001414A5" w:rsidRPr="001414A5" w:rsidRDefault="00C371E1" w:rsidP="00940920">
      <w:pPr>
        <w:numPr>
          <w:ilvl w:val="1"/>
          <w:numId w:val="24"/>
        </w:numPr>
        <w:ind w:left="426"/>
        <w:rPr>
          <w:rFonts w:asciiTheme="minorHAnsi" w:hAnsiTheme="minorHAnsi" w:cstheme="minorHAnsi"/>
          <w:lang w:eastAsia="en-GB"/>
        </w:rPr>
      </w:pPr>
      <w:r>
        <w:rPr>
          <w:rFonts w:asciiTheme="minorHAnsi" w:hAnsiTheme="minorHAnsi" w:cstheme="minorHAnsi"/>
          <w:lang w:eastAsia="en-GB"/>
        </w:rPr>
        <w:t>As noted above, t</w:t>
      </w:r>
      <w:r w:rsidR="001414A5" w:rsidRPr="001414A5">
        <w:rPr>
          <w:rFonts w:asciiTheme="minorHAnsi" w:hAnsiTheme="minorHAnsi" w:cstheme="minorHAnsi"/>
          <w:lang w:eastAsia="en-GB"/>
        </w:rPr>
        <w:t xml:space="preserve">here is likely to be an enhanced Post-Payment Verification (PPV) process next year in relation to the flu DES, so it is imperative that practices exercise very tight ordering, </w:t>
      </w:r>
      <w:r w:rsidR="00940920" w:rsidRPr="001414A5">
        <w:rPr>
          <w:rFonts w:asciiTheme="minorHAnsi" w:hAnsiTheme="minorHAnsi" w:cstheme="minorHAnsi"/>
          <w:lang w:eastAsia="en-GB"/>
        </w:rPr>
        <w:t>administering,</w:t>
      </w:r>
      <w:r w:rsidR="001414A5" w:rsidRPr="001414A5">
        <w:rPr>
          <w:rFonts w:asciiTheme="minorHAnsi" w:hAnsiTheme="minorHAnsi" w:cstheme="minorHAnsi"/>
          <w:lang w:eastAsia="en-GB"/>
        </w:rPr>
        <w:t xml:space="preserve"> and claiming processes. If ever in doubt as to what to record</w:t>
      </w:r>
      <w:r w:rsidR="0086672F">
        <w:rPr>
          <w:rFonts w:asciiTheme="minorHAnsi" w:hAnsiTheme="minorHAnsi" w:cstheme="minorHAnsi"/>
          <w:lang w:eastAsia="en-GB"/>
        </w:rPr>
        <w:t>,</w:t>
      </w:r>
      <w:r w:rsidR="001414A5" w:rsidRPr="001414A5">
        <w:rPr>
          <w:rFonts w:asciiTheme="minorHAnsi" w:hAnsiTheme="minorHAnsi" w:cstheme="minorHAnsi"/>
          <w:lang w:eastAsia="en-GB"/>
        </w:rPr>
        <w:t xml:space="preserve"> always make sure you can evidence every step and action, </w:t>
      </w:r>
      <w:r w:rsidR="00940920" w:rsidRPr="001414A5">
        <w:rPr>
          <w:rFonts w:asciiTheme="minorHAnsi" w:hAnsiTheme="minorHAnsi" w:cstheme="minorHAnsi"/>
          <w:lang w:eastAsia="en-GB"/>
        </w:rPr>
        <w:t>should the</w:t>
      </w:r>
      <w:r w:rsidR="001414A5" w:rsidRPr="001414A5">
        <w:rPr>
          <w:rFonts w:asciiTheme="minorHAnsi" w:hAnsiTheme="minorHAnsi" w:cstheme="minorHAnsi"/>
          <w:lang w:eastAsia="en-GB"/>
        </w:rPr>
        <w:t xml:space="preserve"> need arrive to provide proof of appropriate claiming. </w:t>
      </w:r>
    </w:p>
    <w:p w14:paraId="15344EE6" w14:textId="77777777" w:rsidR="001414A5" w:rsidRPr="001414A5" w:rsidRDefault="001414A5" w:rsidP="00940920">
      <w:pPr>
        <w:numPr>
          <w:ilvl w:val="1"/>
          <w:numId w:val="24"/>
        </w:numPr>
        <w:ind w:left="426"/>
        <w:rPr>
          <w:rFonts w:asciiTheme="minorHAnsi" w:hAnsiTheme="minorHAnsi" w:cstheme="minorHAnsi"/>
          <w:lang w:eastAsia="en-GB"/>
        </w:rPr>
      </w:pPr>
      <w:r w:rsidRPr="001414A5">
        <w:rPr>
          <w:rFonts w:asciiTheme="minorHAnsi" w:hAnsiTheme="minorHAnsi" w:cstheme="minorHAnsi"/>
          <w:lang w:eastAsia="en-GB"/>
        </w:rPr>
        <w:t xml:space="preserve">Part of the process to access the ordering of centrally held stock is that practices will be required to sign two self-certification declarations: </w:t>
      </w:r>
    </w:p>
    <w:p w14:paraId="12C39CD5" w14:textId="77777777" w:rsidR="001414A5" w:rsidRPr="001414A5" w:rsidRDefault="001414A5" w:rsidP="00940920">
      <w:pPr>
        <w:numPr>
          <w:ilvl w:val="2"/>
          <w:numId w:val="24"/>
        </w:numPr>
        <w:ind w:left="709"/>
        <w:rPr>
          <w:rFonts w:asciiTheme="minorHAnsi" w:hAnsiTheme="minorHAnsi" w:cstheme="minorHAnsi"/>
          <w:lang w:eastAsia="en-GB"/>
        </w:rPr>
      </w:pPr>
      <w:r w:rsidRPr="001414A5">
        <w:rPr>
          <w:rFonts w:asciiTheme="minorHAnsi" w:hAnsiTheme="minorHAnsi" w:cstheme="minorHAnsi"/>
          <w:lang w:eastAsia="en-GB"/>
        </w:rPr>
        <w:t xml:space="preserve">To the manufacturers before accessing stock </w:t>
      </w:r>
    </w:p>
    <w:p w14:paraId="75645198" w14:textId="0BAE8B30" w:rsidR="001414A5" w:rsidRPr="001414A5" w:rsidRDefault="001414A5" w:rsidP="00940920">
      <w:pPr>
        <w:numPr>
          <w:ilvl w:val="2"/>
          <w:numId w:val="24"/>
        </w:numPr>
        <w:ind w:left="709"/>
        <w:rPr>
          <w:rFonts w:asciiTheme="minorHAnsi" w:hAnsiTheme="minorHAnsi" w:cstheme="minorHAnsi"/>
          <w:lang w:eastAsia="en-GB"/>
        </w:rPr>
      </w:pPr>
      <w:r w:rsidRPr="001414A5">
        <w:rPr>
          <w:rFonts w:asciiTheme="minorHAnsi" w:hAnsiTheme="minorHAnsi" w:cstheme="minorHAnsi"/>
          <w:lang w:eastAsia="en-GB"/>
        </w:rPr>
        <w:t xml:space="preserve">To NHS Business Services Authority </w:t>
      </w:r>
      <w:r w:rsidR="00940920" w:rsidRPr="001414A5">
        <w:rPr>
          <w:rFonts w:asciiTheme="minorHAnsi" w:hAnsiTheme="minorHAnsi" w:cstheme="minorHAnsi"/>
          <w:lang w:eastAsia="en-GB"/>
        </w:rPr>
        <w:t>(acting</w:t>
      </w:r>
      <w:r w:rsidRPr="001414A5">
        <w:rPr>
          <w:rFonts w:asciiTheme="minorHAnsi" w:hAnsiTheme="minorHAnsi" w:cstheme="minorHAnsi"/>
          <w:lang w:eastAsia="en-GB"/>
        </w:rPr>
        <w:t xml:space="preserve"> on behalf of NHSEI) at the end of the season as part of the PPV</w:t>
      </w:r>
    </w:p>
    <w:p w14:paraId="249B3998" w14:textId="77777777" w:rsidR="001414A5" w:rsidRPr="001414A5" w:rsidRDefault="001414A5" w:rsidP="00940920">
      <w:pPr>
        <w:numPr>
          <w:ilvl w:val="1"/>
          <w:numId w:val="24"/>
        </w:numPr>
        <w:ind w:left="426"/>
        <w:rPr>
          <w:rFonts w:asciiTheme="minorHAnsi" w:hAnsiTheme="minorHAnsi" w:cstheme="minorHAnsi"/>
          <w:lang w:eastAsia="en-GB"/>
        </w:rPr>
      </w:pPr>
      <w:r w:rsidRPr="001414A5">
        <w:rPr>
          <w:rFonts w:asciiTheme="minorHAnsi" w:hAnsiTheme="minorHAnsi" w:cstheme="minorHAnsi"/>
          <w:lang w:eastAsia="en-GB"/>
        </w:rPr>
        <w:t>A submission of the PPV form will be required at the end of the season.</w:t>
      </w:r>
    </w:p>
    <w:p w14:paraId="6954E659" w14:textId="77777777" w:rsidR="00940920" w:rsidRDefault="00940920" w:rsidP="00940920">
      <w:pPr>
        <w:pStyle w:val="Heading3"/>
        <w:rPr>
          <w:rFonts w:asciiTheme="minorHAnsi" w:hAnsiTheme="minorHAnsi" w:cstheme="minorHAnsi"/>
          <w:b/>
          <w:bCs/>
          <w:lang w:eastAsia="en-GB"/>
        </w:rPr>
      </w:pPr>
    </w:p>
    <w:p w14:paraId="1AF2FC21" w14:textId="64FD6D3F" w:rsidR="001414A5" w:rsidRPr="00940920" w:rsidRDefault="001414A5" w:rsidP="00940920">
      <w:pPr>
        <w:pStyle w:val="Heading3"/>
        <w:rPr>
          <w:rFonts w:asciiTheme="minorHAnsi" w:hAnsiTheme="minorHAnsi" w:cstheme="minorHAnsi"/>
          <w:lang w:eastAsia="en-GB"/>
        </w:rPr>
      </w:pPr>
      <w:bookmarkStart w:id="6" w:name="_Toc54254216"/>
      <w:r w:rsidRPr="001414A5">
        <w:rPr>
          <w:rFonts w:asciiTheme="minorHAnsi" w:hAnsiTheme="minorHAnsi" w:cstheme="minorHAnsi"/>
          <w:lang w:eastAsia="en-GB"/>
        </w:rPr>
        <w:t>Sharing of stocks</w:t>
      </w:r>
      <w:bookmarkEnd w:id="6"/>
      <w:r w:rsidRPr="001414A5">
        <w:rPr>
          <w:rFonts w:asciiTheme="minorHAnsi" w:hAnsiTheme="minorHAnsi" w:cstheme="minorHAnsi"/>
          <w:lang w:eastAsia="en-GB"/>
        </w:rPr>
        <w:t xml:space="preserve"> </w:t>
      </w:r>
    </w:p>
    <w:p w14:paraId="1E6755E1" w14:textId="77777777" w:rsidR="00940920" w:rsidRPr="001414A5" w:rsidRDefault="00940920" w:rsidP="00940920">
      <w:pPr>
        <w:rPr>
          <w:lang w:eastAsia="en-GB"/>
        </w:rPr>
      </w:pPr>
    </w:p>
    <w:p w14:paraId="76BF3FD9" w14:textId="77777777" w:rsidR="001414A5" w:rsidRPr="001414A5" w:rsidRDefault="001414A5" w:rsidP="001414A5">
      <w:pPr>
        <w:numPr>
          <w:ilvl w:val="0"/>
          <w:numId w:val="27"/>
        </w:numPr>
        <w:ind w:left="567"/>
        <w:rPr>
          <w:rFonts w:asciiTheme="minorHAnsi" w:hAnsiTheme="minorHAnsi" w:cstheme="minorHAnsi"/>
          <w:lang w:eastAsia="en-GB"/>
        </w:rPr>
      </w:pPr>
      <w:r w:rsidRPr="001414A5">
        <w:rPr>
          <w:rFonts w:asciiTheme="minorHAnsi" w:hAnsiTheme="minorHAnsi" w:cstheme="minorHAnsi"/>
          <w:lang w:eastAsia="en-GB"/>
        </w:rPr>
        <w:t>The MHRA (Medicines and Healthcare Products Regulatory Agency) has agreed a dispensation that with appropriate safeguards will allow practices to move vaccine stock between themselves and other NHS providers including Community Pharmacists.</w:t>
      </w:r>
    </w:p>
    <w:p w14:paraId="22015B13" w14:textId="72D013CA" w:rsidR="001414A5" w:rsidRPr="001414A5" w:rsidRDefault="001414A5" w:rsidP="001414A5">
      <w:pPr>
        <w:numPr>
          <w:ilvl w:val="0"/>
          <w:numId w:val="27"/>
        </w:numPr>
        <w:ind w:left="567"/>
        <w:rPr>
          <w:rFonts w:asciiTheme="minorHAnsi" w:hAnsiTheme="minorHAnsi" w:cstheme="minorHAnsi"/>
          <w:lang w:eastAsia="en-GB"/>
        </w:rPr>
      </w:pPr>
      <w:r w:rsidRPr="001414A5">
        <w:rPr>
          <w:rFonts w:asciiTheme="minorHAnsi" w:hAnsiTheme="minorHAnsi" w:cstheme="minorHAnsi"/>
          <w:lang w:eastAsia="en-GB"/>
        </w:rPr>
        <w:t xml:space="preserve">Practices are advised to check with local practices (and PCNs) for </w:t>
      </w:r>
      <w:r w:rsidR="00940920" w:rsidRPr="001414A5">
        <w:rPr>
          <w:rFonts w:asciiTheme="minorHAnsi" w:hAnsiTheme="minorHAnsi" w:cstheme="minorHAnsi"/>
          <w:lang w:eastAsia="en-GB"/>
        </w:rPr>
        <w:t>available</w:t>
      </w:r>
      <w:r w:rsidRPr="001414A5">
        <w:rPr>
          <w:rFonts w:asciiTheme="minorHAnsi" w:hAnsiTheme="minorHAnsi" w:cstheme="minorHAnsi"/>
          <w:lang w:eastAsia="en-GB"/>
        </w:rPr>
        <w:t xml:space="preserve"> stock to share before ordering although, because of the high demand</w:t>
      </w:r>
      <w:r w:rsidR="0086672F">
        <w:rPr>
          <w:rFonts w:asciiTheme="minorHAnsi" w:hAnsiTheme="minorHAnsi" w:cstheme="minorHAnsi"/>
          <w:lang w:eastAsia="en-GB"/>
        </w:rPr>
        <w:t>,</w:t>
      </w:r>
      <w:r w:rsidRPr="001414A5">
        <w:rPr>
          <w:rFonts w:asciiTheme="minorHAnsi" w:hAnsiTheme="minorHAnsi" w:cstheme="minorHAnsi"/>
          <w:lang w:eastAsia="en-GB"/>
        </w:rPr>
        <w:t xml:space="preserve"> it is unlikely that this will be the case.</w:t>
      </w:r>
    </w:p>
    <w:p w14:paraId="290FA977" w14:textId="5668DF7E" w:rsidR="001414A5" w:rsidRDefault="001414A5" w:rsidP="001414A5">
      <w:pPr>
        <w:numPr>
          <w:ilvl w:val="0"/>
          <w:numId w:val="27"/>
        </w:numPr>
        <w:ind w:left="567"/>
        <w:rPr>
          <w:rFonts w:asciiTheme="minorHAnsi" w:hAnsiTheme="minorHAnsi" w:cstheme="minorHAnsi"/>
          <w:lang w:eastAsia="en-GB"/>
        </w:rPr>
      </w:pPr>
      <w:r w:rsidRPr="001414A5">
        <w:rPr>
          <w:rFonts w:asciiTheme="minorHAnsi" w:hAnsiTheme="minorHAnsi" w:cstheme="minorHAnsi"/>
          <w:lang w:eastAsia="en-GB"/>
        </w:rPr>
        <w:t>(A proportion of free DHSC stock is being reserved for Acute Trusts and Community Pharmacies)</w:t>
      </w:r>
    </w:p>
    <w:p w14:paraId="1052C4C3" w14:textId="5253141A" w:rsidR="00AC0438" w:rsidRDefault="00AC0438" w:rsidP="00AC0438">
      <w:pPr>
        <w:rPr>
          <w:rFonts w:asciiTheme="minorHAnsi" w:hAnsiTheme="minorHAnsi" w:cstheme="minorHAnsi"/>
          <w:lang w:eastAsia="en-GB"/>
        </w:rPr>
      </w:pPr>
    </w:p>
    <w:p w14:paraId="5650E00F" w14:textId="2B9D4889" w:rsidR="00AC0438" w:rsidRDefault="00AC0438" w:rsidP="00585AA8">
      <w:pPr>
        <w:pStyle w:val="Heading2"/>
        <w:rPr>
          <w:rFonts w:asciiTheme="minorHAnsi" w:hAnsiTheme="minorHAnsi" w:cstheme="minorHAnsi"/>
          <w:lang w:eastAsia="en-GB"/>
        </w:rPr>
      </w:pPr>
      <w:bookmarkStart w:id="7" w:name="_Toc54254217"/>
      <w:r w:rsidRPr="00AC0438">
        <w:rPr>
          <w:rFonts w:asciiTheme="minorHAnsi" w:hAnsiTheme="minorHAnsi" w:cstheme="minorHAnsi"/>
          <w:lang w:eastAsia="en-GB"/>
        </w:rPr>
        <w:t>Damaged or loss of in-practice vaccine</w:t>
      </w:r>
      <w:bookmarkEnd w:id="7"/>
    </w:p>
    <w:p w14:paraId="4BF46B56" w14:textId="77777777" w:rsidR="00585AA8" w:rsidRPr="00AC0438" w:rsidRDefault="00585AA8" w:rsidP="00585AA8">
      <w:pPr>
        <w:rPr>
          <w:lang w:eastAsia="en-GB"/>
        </w:rPr>
      </w:pPr>
    </w:p>
    <w:p w14:paraId="77B0837A" w14:textId="5DF9EC8E" w:rsidR="00AC0438" w:rsidRPr="00AC0438" w:rsidRDefault="00AC0438" w:rsidP="00585AA8">
      <w:pPr>
        <w:numPr>
          <w:ilvl w:val="0"/>
          <w:numId w:val="29"/>
        </w:numPr>
        <w:ind w:left="567"/>
        <w:rPr>
          <w:rFonts w:asciiTheme="minorHAnsi" w:hAnsiTheme="minorHAnsi" w:cstheme="minorHAnsi"/>
          <w:lang w:eastAsia="en-GB"/>
        </w:rPr>
      </w:pPr>
      <w:r w:rsidRPr="00AC0438">
        <w:rPr>
          <w:rFonts w:asciiTheme="minorHAnsi" w:hAnsiTheme="minorHAnsi" w:cstheme="minorHAnsi"/>
          <w:lang w:eastAsia="en-GB"/>
        </w:rPr>
        <w:t xml:space="preserve">Systems should be in place to store and administer locally and DHSC supplied stock </w:t>
      </w:r>
      <w:r w:rsidR="00EC14BF" w:rsidRPr="00AC0438">
        <w:rPr>
          <w:rFonts w:asciiTheme="minorHAnsi" w:hAnsiTheme="minorHAnsi" w:cstheme="minorHAnsi"/>
          <w:lang w:eastAsia="en-GB"/>
        </w:rPr>
        <w:t>to</w:t>
      </w:r>
      <w:r w:rsidRPr="00AC0438">
        <w:rPr>
          <w:rFonts w:asciiTheme="minorHAnsi" w:hAnsiTheme="minorHAnsi" w:cstheme="minorHAnsi"/>
          <w:lang w:eastAsia="en-GB"/>
        </w:rPr>
        <w:t xml:space="preserve"> support accurate record keeping.</w:t>
      </w:r>
    </w:p>
    <w:p w14:paraId="49B0CBF7" w14:textId="77777777" w:rsidR="00AC0438" w:rsidRPr="00AC0438" w:rsidRDefault="00AC0438" w:rsidP="00585AA8">
      <w:pPr>
        <w:numPr>
          <w:ilvl w:val="0"/>
          <w:numId w:val="29"/>
        </w:numPr>
        <w:ind w:left="567"/>
        <w:rPr>
          <w:rFonts w:asciiTheme="minorHAnsi" w:hAnsiTheme="minorHAnsi" w:cstheme="minorHAnsi"/>
          <w:lang w:eastAsia="en-GB"/>
        </w:rPr>
      </w:pPr>
      <w:r w:rsidRPr="00AC0438">
        <w:rPr>
          <w:rFonts w:asciiTheme="minorHAnsi" w:hAnsiTheme="minorHAnsi" w:cstheme="minorHAnsi"/>
          <w:lang w:eastAsia="en-GB"/>
        </w:rPr>
        <w:t>Practices should check carefully that they have adequate vaccine compliant fridge space, bearing in mind the extra supplies required and the need to keep all stock away from the back and sides of the fridge. If in doubt and to avoid the regrettable risk of damaging stock, please consider the purchase of an additional fridge</w:t>
      </w:r>
    </w:p>
    <w:p w14:paraId="1E8DAB42" w14:textId="77777777" w:rsidR="00AC0438" w:rsidRPr="00AC0438" w:rsidRDefault="00AC0438" w:rsidP="00585AA8">
      <w:pPr>
        <w:numPr>
          <w:ilvl w:val="0"/>
          <w:numId w:val="29"/>
        </w:numPr>
        <w:ind w:left="567"/>
        <w:rPr>
          <w:rFonts w:asciiTheme="minorHAnsi" w:hAnsiTheme="minorHAnsi" w:cstheme="minorHAnsi"/>
          <w:lang w:eastAsia="en-GB"/>
        </w:rPr>
      </w:pPr>
      <w:r w:rsidRPr="00AC0438">
        <w:rPr>
          <w:rFonts w:asciiTheme="minorHAnsi" w:hAnsiTheme="minorHAnsi" w:cstheme="minorHAnsi"/>
          <w:lang w:eastAsia="en-GB"/>
        </w:rPr>
        <w:t xml:space="preserve">Should stock become damaged for whatever reason , please record the quantity and numbers so that the difference from what the system may expect you to have, and what you now effectively have, can be accounted for.                                                                                                                                                                                                                                                                                                                                                                                                                                                                                                                                                                                                                                                                                                                                                                                                                                                                                                                                                                                                                                                                                                                                                                                                                                                                                                                                                                                                                                                                                                                                                                                                                                                                                                                                                                                                                                                                                                                                                                                                                                                                                                                                                                                                                                                                                                                                                                                                                                                                         </w:t>
      </w:r>
    </w:p>
    <w:p w14:paraId="3BEFC55D" w14:textId="77777777" w:rsidR="00AC0438" w:rsidRPr="00AC0438" w:rsidRDefault="00AC0438" w:rsidP="00AC0438">
      <w:pPr>
        <w:rPr>
          <w:rFonts w:asciiTheme="minorHAnsi" w:hAnsiTheme="minorHAnsi" w:cstheme="minorHAnsi"/>
          <w:lang w:eastAsia="en-GB"/>
        </w:rPr>
      </w:pPr>
    </w:p>
    <w:p w14:paraId="78735813" w14:textId="218FD2F8" w:rsidR="00AC0438" w:rsidRPr="00AC0438" w:rsidRDefault="00AC0438" w:rsidP="00585AA8">
      <w:pPr>
        <w:pStyle w:val="Heading2"/>
        <w:rPr>
          <w:rFonts w:asciiTheme="minorHAnsi" w:hAnsiTheme="minorHAnsi" w:cstheme="minorHAnsi"/>
          <w:lang w:eastAsia="en-GB"/>
        </w:rPr>
      </w:pPr>
      <w:bookmarkStart w:id="8" w:name="_Toc54254218"/>
      <w:r w:rsidRPr="00AC0438">
        <w:rPr>
          <w:rFonts w:asciiTheme="minorHAnsi" w:hAnsiTheme="minorHAnsi" w:cstheme="minorHAnsi"/>
          <w:lang w:eastAsia="en-GB"/>
        </w:rPr>
        <w:t>Prioritisation of patient cohorts</w:t>
      </w:r>
      <w:bookmarkEnd w:id="8"/>
    </w:p>
    <w:p w14:paraId="7C06C231" w14:textId="77777777" w:rsidR="00AC0438" w:rsidRPr="00AC0438" w:rsidRDefault="00AC0438" w:rsidP="00AC0438">
      <w:pPr>
        <w:rPr>
          <w:rFonts w:asciiTheme="minorHAnsi" w:hAnsiTheme="minorHAnsi" w:cstheme="minorHAnsi"/>
          <w:lang w:eastAsia="en-GB"/>
        </w:rPr>
      </w:pPr>
    </w:p>
    <w:p w14:paraId="2A54C438" w14:textId="7EFD7AA6" w:rsidR="00AC0438" w:rsidRDefault="00AC0438" w:rsidP="00585AA8">
      <w:pPr>
        <w:numPr>
          <w:ilvl w:val="0"/>
          <w:numId w:val="30"/>
        </w:numPr>
        <w:ind w:left="567"/>
        <w:rPr>
          <w:rFonts w:asciiTheme="minorHAnsi" w:hAnsiTheme="minorHAnsi" w:cstheme="minorHAnsi"/>
          <w:lang w:eastAsia="en-GB"/>
        </w:rPr>
      </w:pPr>
      <w:r w:rsidRPr="00AC0438">
        <w:rPr>
          <w:rFonts w:asciiTheme="minorHAnsi" w:hAnsiTheme="minorHAnsi" w:cstheme="minorHAnsi"/>
          <w:lang w:eastAsia="en-GB"/>
        </w:rPr>
        <w:t xml:space="preserve">The eligibility cohorts have been widened.  However, the 50-64-year-old age cohort has not yet been included in the NHS DES and will not be until the Government makes an announcement confirming this and the way it will be delivered.  GPs should not offer patients in this cohort a flu immunisation unless of course they are eligible for other reasons. </w:t>
      </w:r>
    </w:p>
    <w:p w14:paraId="5D573906" w14:textId="4810596E" w:rsidR="00343030" w:rsidRPr="00AC0438" w:rsidRDefault="00343030" w:rsidP="000D44C1">
      <w:pPr>
        <w:pStyle w:val="ListParagraph"/>
        <w:numPr>
          <w:ilvl w:val="0"/>
          <w:numId w:val="11"/>
        </w:numPr>
        <w:ind w:left="567"/>
        <w:rPr>
          <w:rFonts w:asciiTheme="minorHAnsi" w:hAnsiTheme="minorHAnsi" w:cstheme="minorHAnsi"/>
          <w:lang w:eastAsia="en-GB"/>
        </w:rPr>
      </w:pPr>
      <w:r w:rsidRPr="00343030">
        <w:rPr>
          <w:rFonts w:asciiTheme="minorHAnsi" w:hAnsiTheme="minorHAnsi" w:cstheme="minorHAnsi"/>
          <w:bCs/>
          <w:noProof/>
          <w:lang w:eastAsia="en-GB"/>
        </w:rPr>
        <w:lastRenderedPageBreak/>
        <w:t xml:space="preserve">A </w:t>
      </w:r>
      <w:hyperlink r:id="rId23" w:history="1">
        <w:r w:rsidRPr="00343030">
          <w:rPr>
            <w:rStyle w:val="Hyperlink"/>
            <w:rFonts w:asciiTheme="minorHAnsi" w:hAnsiTheme="minorHAnsi" w:cstheme="minorHAnsi"/>
            <w:bCs/>
            <w:noProof/>
            <w:lang w:eastAsia="en-GB"/>
          </w:rPr>
          <w:t>‘Why and I being asked to wait?’</w:t>
        </w:r>
      </w:hyperlink>
      <w:r w:rsidRPr="00343030">
        <w:rPr>
          <w:rFonts w:asciiTheme="minorHAnsi" w:hAnsiTheme="minorHAnsi" w:cstheme="minorHAnsi"/>
          <w:bCs/>
          <w:noProof/>
          <w:lang w:eastAsia="en-GB"/>
        </w:rPr>
        <w:t xml:space="preserve"> poster has been released by PHE</w:t>
      </w:r>
      <w:r w:rsidRPr="004D1EDA">
        <w:rPr>
          <w:rFonts w:asciiTheme="minorHAnsi" w:hAnsiTheme="minorHAnsi" w:cstheme="minorHAnsi"/>
          <w:b/>
          <w:bCs/>
          <w:noProof/>
        </w:rPr>
        <w:drawing>
          <wp:inline distT="0" distB="0" distL="0" distR="0" wp14:anchorId="5FFC1714" wp14:editId="650E3A8C">
            <wp:extent cx="5356176" cy="3983604"/>
            <wp:effectExtent l="0" t="0" r="0" b="0"/>
            <wp:docPr id="1" name="Picture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3"/>
                    </pic:cNvPr>
                    <pic:cNvPicPr/>
                  </pic:nvPicPr>
                  <pic:blipFill>
                    <a:blip r:embed="rId24"/>
                    <a:stretch>
                      <a:fillRect/>
                    </a:stretch>
                  </pic:blipFill>
                  <pic:spPr>
                    <a:xfrm>
                      <a:off x="0" y="0"/>
                      <a:ext cx="5397706" cy="4014491"/>
                    </a:xfrm>
                    <a:prstGeom prst="rect">
                      <a:avLst/>
                    </a:prstGeom>
                  </pic:spPr>
                </pic:pic>
              </a:graphicData>
            </a:graphic>
          </wp:inline>
        </w:drawing>
      </w:r>
    </w:p>
    <w:p w14:paraId="229DF0A6" w14:textId="77777777" w:rsidR="00AC0438" w:rsidRPr="00AC0438" w:rsidRDefault="00AC0438" w:rsidP="00585AA8">
      <w:pPr>
        <w:numPr>
          <w:ilvl w:val="0"/>
          <w:numId w:val="30"/>
        </w:numPr>
        <w:ind w:left="567"/>
        <w:rPr>
          <w:rFonts w:asciiTheme="minorHAnsi" w:hAnsiTheme="minorHAnsi" w:cstheme="minorHAnsi"/>
          <w:lang w:eastAsia="en-GB"/>
        </w:rPr>
      </w:pPr>
      <w:r w:rsidRPr="00AC0438">
        <w:rPr>
          <w:rFonts w:asciiTheme="minorHAnsi" w:hAnsiTheme="minorHAnsi" w:cstheme="minorHAnsi"/>
          <w:lang w:eastAsia="en-GB"/>
        </w:rPr>
        <w:t xml:space="preserve">Practices should prioritise available flu stocks for the </w:t>
      </w:r>
      <w:r w:rsidRPr="00AC0438">
        <w:rPr>
          <w:rFonts w:asciiTheme="minorHAnsi" w:hAnsiTheme="minorHAnsi" w:cstheme="minorHAnsi"/>
          <w:b/>
          <w:bCs/>
          <w:lang w:eastAsia="en-GB"/>
        </w:rPr>
        <w:t>currently defined eligible</w:t>
      </w:r>
      <w:r w:rsidRPr="00AC0438">
        <w:rPr>
          <w:rFonts w:asciiTheme="minorHAnsi" w:hAnsiTheme="minorHAnsi" w:cstheme="minorHAnsi"/>
          <w:lang w:eastAsia="en-GB"/>
        </w:rPr>
        <w:t xml:space="preserve"> cohorts.</w:t>
      </w:r>
    </w:p>
    <w:p w14:paraId="6863ACD2" w14:textId="77777777" w:rsidR="00AC0438" w:rsidRPr="00AC0438" w:rsidRDefault="00AC0438" w:rsidP="00585AA8">
      <w:pPr>
        <w:numPr>
          <w:ilvl w:val="0"/>
          <w:numId w:val="30"/>
        </w:numPr>
        <w:ind w:left="567"/>
        <w:rPr>
          <w:rFonts w:asciiTheme="minorHAnsi" w:hAnsiTheme="minorHAnsi" w:cstheme="minorHAnsi"/>
          <w:lang w:eastAsia="en-GB"/>
        </w:rPr>
      </w:pPr>
      <w:r w:rsidRPr="00AC0438">
        <w:rPr>
          <w:rFonts w:asciiTheme="minorHAnsi" w:hAnsiTheme="minorHAnsi" w:cstheme="minorHAnsi"/>
          <w:lang w:eastAsia="en-GB"/>
        </w:rPr>
        <w:t>DHSC vaccines should only be used for patients in line with JCVI (Joint Committee on Vaccination and Immunisation) eligibility recommendations and until the government announces this, the 50 – 64 age cohort are not eligible.  DHSC vaccines should therefore not be ordered in anticipation of the likely demand from this cohort</w:t>
      </w:r>
    </w:p>
    <w:p w14:paraId="52E9DC83" w14:textId="77777777" w:rsidR="00AC0438" w:rsidRPr="00AC0438" w:rsidRDefault="00AC0438" w:rsidP="00AC0438">
      <w:pPr>
        <w:rPr>
          <w:rFonts w:asciiTheme="minorHAnsi" w:hAnsiTheme="minorHAnsi" w:cstheme="minorHAnsi"/>
          <w:lang w:eastAsia="en-GB"/>
        </w:rPr>
      </w:pPr>
    </w:p>
    <w:p w14:paraId="70BD80D4" w14:textId="5588A893" w:rsidR="00AC0438" w:rsidRDefault="00AC0438" w:rsidP="00585AA8">
      <w:pPr>
        <w:pStyle w:val="Heading2"/>
        <w:rPr>
          <w:rFonts w:asciiTheme="minorHAnsi" w:hAnsiTheme="minorHAnsi" w:cstheme="minorHAnsi"/>
          <w:lang w:eastAsia="en-GB"/>
        </w:rPr>
      </w:pPr>
      <w:bookmarkStart w:id="9" w:name="_Toc54254219"/>
      <w:r w:rsidRPr="00AC0438">
        <w:rPr>
          <w:rFonts w:asciiTheme="minorHAnsi" w:hAnsiTheme="minorHAnsi" w:cstheme="minorHAnsi"/>
          <w:lang w:eastAsia="en-GB"/>
        </w:rPr>
        <w:t>Additional Funding for the expanded flu delivery programme</w:t>
      </w:r>
      <w:bookmarkEnd w:id="9"/>
      <w:r w:rsidRPr="00AC0438">
        <w:rPr>
          <w:rFonts w:asciiTheme="minorHAnsi" w:hAnsiTheme="minorHAnsi" w:cstheme="minorHAnsi"/>
          <w:lang w:eastAsia="en-GB"/>
        </w:rPr>
        <w:t xml:space="preserve"> </w:t>
      </w:r>
    </w:p>
    <w:p w14:paraId="76B7F826" w14:textId="77777777" w:rsidR="00585AA8" w:rsidRPr="00AC0438" w:rsidRDefault="00585AA8" w:rsidP="00585AA8">
      <w:pPr>
        <w:rPr>
          <w:lang w:eastAsia="en-GB"/>
        </w:rPr>
      </w:pPr>
    </w:p>
    <w:p w14:paraId="31042CCB" w14:textId="77777777" w:rsidR="00AC0438" w:rsidRPr="00AC0438" w:rsidRDefault="00AC0438" w:rsidP="00585AA8">
      <w:pPr>
        <w:numPr>
          <w:ilvl w:val="0"/>
          <w:numId w:val="31"/>
        </w:numPr>
        <w:ind w:left="567"/>
        <w:rPr>
          <w:rFonts w:asciiTheme="minorHAnsi" w:hAnsiTheme="minorHAnsi" w:cstheme="minorHAnsi"/>
          <w:lang w:eastAsia="en-GB"/>
        </w:rPr>
      </w:pPr>
      <w:r w:rsidRPr="00AC0438">
        <w:rPr>
          <w:rFonts w:asciiTheme="minorHAnsi" w:hAnsiTheme="minorHAnsi" w:cstheme="minorHAnsi"/>
          <w:lang w:eastAsia="en-GB"/>
        </w:rPr>
        <w:t xml:space="preserve">Originally information was that there will be no extra funding to support general practice to deliver this enhanced delivery programme, however we have recently been informed that a tranche of funding will come down centrally to be held by CCGs which can be used for this purpose. </w:t>
      </w:r>
    </w:p>
    <w:p w14:paraId="08373141" w14:textId="4421D3BA" w:rsidR="00AC0438" w:rsidRPr="00AC0438" w:rsidRDefault="00AC0438" w:rsidP="00585AA8">
      <w:pPr>
        <w:numPr>
          <w:ilvl w:val="0"/>
          <w:numId w:val="31"/>
        </w:numPr>
        <w:ind w:left="567"/>
        <w:rPr>
          <w:rFonts w:asciiTheme="minorHAnsi" w:hAnsiTheme="minorHAnsi" w:cstheme="minorHAnsi"/>
          <w:lang w:eastAsia="en-GB"/>
        </w:rPr>
      </w:pPr>
      <w:r w:rsidRPr="00AC0438">
        <w:rPr>
          <w:rFonts w:asciiTheme="minorHAnsi" w:hAnsiTheme="minorHAnsi" w:cstheme="minorHAnsi"/>
          <w:lang w:eastAsia="en-GB"/>
        </w:rPr>
        <w:t xml:space="preserve">Criteria will be provided which claims from </w:t>
      </w:r>
      <w:r w:rsidR="00585AA8" w:rsidRPr="00AC0438">
        <w:rPr>
          <w:rFonts w:asciiTheme="minorHAnsi" w:hAnsiTheme="minorHAnsi" w:cstheme="minorHAnsi"/>
          <w:lang w:eastAsia="en-GB"/>
        </w:rPr>
        <w:t>practices will</w:t>
      </w:r>
      <w:r w:rsidRPr="00AC0438">
        <w:rPr>
          <w:rFonts w:asciiTheme="minorHAnsi" w:hAnsiTheme="minorHAnsi" w:cstheme="minorHAnsi"/>
          <w:lang w:eastAsia="en-GB"/>
        </w:rPr>
        <w:t xml:space="preserve"> need to meet before the funding can be released.</w:t>
      </w:r>
    </w:p>
    <w:p w14:paraId="4869455B" w14:textId="77777777" w:rsidR="00AC0438" w:rsidRPr="00AC0438" w:rsidRDefault="00AC0438" w:rsidP="00585AA8">
      <w:pPr>
        <w:numPr>
          <w:ilvl w:val="0"/>
          <w:numId w:val="31"/>
        </w:numPr>
        <w:ind w:left="567"/>
        <w:rPr>
          <w:rFonts w:asciiTheme="minorHAnsi" w:hAnsiTheme="minorHAnsi" w:cstheme="minorHAnsi"/>
          <w:lang w:eastAsia="en-GB"/>
        </w:rPr>
      </w:pPr>
      <w:r w:rsidRPr="00AC0438">
        <w:rPr>
          <w:rFonts w:asciiTheme="minorHAnsi" w:hAnsiTheme="minorHAnsi" w:cstheme="minorHAnsi"/>
          <w:lang w:eastAsia="en-GB"/>
        </w:rPr>
        <w:t xml:space="preserve">At the time of going to print, this has not been formally announced yet, or the details of which practices can claim against, although it is widely acknowledged that this will </w:t>
      </w:r>
      <w:r w:rsidRPr="00AC0438">
        <w:rPr>
          <w:rFonts w:asciiTheme="minorHAnsi" w:hAnsiTheme="minorHAnsi" w:cstheme="minorHAnsi"/>
          <w:i/>
          <w:iCs/>
          <w:lang w:eastAsia="en-GB"/>
        </w:rPr>
        <w:t>not</w:t>
      </w:r>
      <w:r w:rsidRPr="00AC0438">
        <w:rPr>
          <w:rFonts w:asciiTheme="minorHAnsi" w:hAnsiTheme="minorHAnsi" w:cstheme="minorHAnsi"/>
          <w:lang w:eastAsia="en-GB"/>
        </w:rPr>
        <w:t xml:space="preserve"> include staffing cost claims.  We fully understand that staffing costs to practices form the greatest cost for delivering the programme but as a nationally administered scheme, there is no local negotiation. We await fuller details.  </w:t>
      </w:r>
    </w:p>
    <w:p w14:paraId="09969D7D" w14:textId="77777777" w:rsidR="00AC0438" w:rsidRPr="00AC0438" w:rsidRDefault="00AC0438" w:rsidP="00AC0438">
      <w:pPr>
        <w:rPr>
          <w:rFonts w:asciiTheme="minorHAnsi" w:hAnsiTheme="minorHAnsi" w:cstheme="minorHAnsi"/>
          <w:lang w:eastAsia="en-GB"/>
        </w:rPr>
      </w:pPr>
    </w:p>
    <w:p w14:paraId="72246753" w14:textId="3C771C8A" w:rsidR="00AC0438" w:rsidRDefault="00250A05" w:rsidP="00585AA8">
      <w:pPr>
        <w:pStyle w:val="Heading2"/>
        <w:rPr>
          <w:rFonts w:asciiTheme="minorHAnsi" w:hAnsiTheme="minorHAnsi" w:cstheme="minorHAnsi"/>
          <w:b/>
          <w:bCs/>
          <w:lang w:eastAsia="en-GB"/>
        </w:rPr>
      </w:pPr>
      <w:hyperlink r:id="rId25" w:anchor="seasonal-influenza" w:history="1">
        <w:bookmarkStart w:id="10" w:name="_Toc54254220"/>
        <w:r w:rsidR="00AC0438" w:rsidRPr="00AC0438">
          <w:rPr>
            <w:rStyle w:val="Hyperlink"/>
            <w:rFonts w:asciiTheme="minorHAnsi" w:hAnsiTheme="minorHAnsi" w:cstheme="minorHAnsi"/>
            <w:lang w:eastAsia="en-GB"/>
          </w:rPr>
          <w:t xml:space="preserve">Detailed Flu Coding </w:t>
        </w:r>
        <w:r w:rsidR="00585AA8" w:rsidRPr="00D9326C">
          <w:rPr>
            <w:rStyle w:val="Hyperlink"/>
            <w:rFonts w:asciiTheme="minorHAnsi" w:hAnsiTheme="minorHAnsi" w:cstheme="minorHAnsi"/>
            <w:lang w:eastAsia="en-GB"/>
          </w:rPr>
          <w:t>Guidance</w:t>
        </w:r>
      </w:hyperlink>
      <w:r w:rsidR="00D9326C">
        <w:rPr>
          <w:rStyle w:val="FootnoteReference"/>
          <w:rFonts w:asciiTheme="minorHAnsi" w:hAnsiTheme="minorHAnsi" w:cstheme="minorHAnsi"/>
          <w:b/>
          <w:bCs/>
          <w:lang w:eastAsia="en-GB"/>
        </w:rPr>
        <w:footnoteReference w:id="1"/>
      </w:r>
      <w:bookmarkEnd w:id="10"/>
    </w:p>
    <w:p w14:paraId="408EA835" w14:textId="77777777" w:rsidR="00F23C6F" w:rsidRPr="00F23C6F" w:rsidRDefault="00F23C6F" w:rsidP="00F23C6F">
      <w:pPr>
        <w:rPr>
          <w:lang w:eastAsia="en-GB"/>
        </w:rPr>
      </w:pPr>
    </w:p>
    <w:p w14:paraId="457DA77B" w14:textId="25DD4798" w:rsidR="00585AA8" w:rsidRDefault="00C371E1" w:rsidP="00585AA8">
      <w:pPr>
        <w:rPr>
          <w:lang w:eastAsia="en-GB"/>
        </w:rPr>
      </w:pPr>
      <w:r>
        <w:rPr>
          <w:lang w:eastAsia="en-GB"/>
        </w:rPr>
        <w:t xml:space="preserve">NHS Digital has released details regarding Seasonal Flu coding which can be found </w:t>
      </w:r>
      <w:hyperlink r:id="rId26" w:anchor="seasonal-influenza" w:history="1">
        <w:r w:rsidRPr="00C371E1">
          <w:rPr>
            <w:rStyle w:val="Hyperlink"/>
            <w:lang w:eastAsia="en-GB"/>
          </w:rPr>
          <w:t>here</w:t>
        </w:r>
      </w:hyperlink>
      <w:r>
        <w:rPr>
          <w:lang w:eastAsia="en-GB"/>
        </w:rPr>
        <w:t>.</w:t>
      </w:r>
    </w:p>
    <w:p w14:paraId="79456F83" w14:textId="77777777" w:rsidR="00D9326C" w:rsidRPr="00AC0438" w:rsidRDefault="00D9326C" w:rsidP="00585AA8">
      <w:pPr>
        <w:rPr>
          <w:lang w:eastAsia="en-GB"/>
        </w:rPr>
      </w:pPr>
    </w:p>
    <w:p w14:paraId="799CCDB7" w14:textId="7E551D9E" w:rsidR="00AC0438" w:rsidRDefault="00AC0438" w:rsidP="00585AA8">
      <w:pPr>
        <w:pStyle w:val="Heading2"/>
        <w:rPr>
          <w:rFonts w:asciiTheme="minorHAnsi" w:hAnsiTheme="minorHAnsi" w:cstheme="minorHAnsi"/>
          <w:lang w:eastAsia="en-GB"/>
        </w:rPr>
      </w:pPr>
      <w:bookmarkStart w:id="11" w:name="_Toc54254221"/>
      <w:r w:rsidRPr="00AC0438">
        <w:rPr>
          <w:rFonts w:asciiTheme="minorHAnsi" w:hAnsiTheme="minorHAnsi" w:cstheme="minorHAnsi"/>
          <w:lang w:eastAsia="en-GB"/>
        </w:rPr>
        <w:t>Covid-19 Considerations</w:t>
      </w:r>
      <w:bookmarkEnd w:id="11"/>
    </w:p>
    <w:p w14:paraId="225E42E4" w14:textId="77777777" w:rsidR="00585AA8" w:rsidRPr="00AC0438" w:rsidRDefault="00585AA8" w:rsidP="00585AA8">
      <w:pPr>
        <w:rPr>
          <w:lang w:eastAsia="en-GB"/>
        </w:rPr>
      </w:pPr>
    </w:p>
    <w:p w14:paraId="0F8CDB59" w14:textId="77777777" w:rsidR="00AC0438" w:rsidRPr="00AC0438" w:rsidRDefault="00AC0438" w:rsidP="00585AA8">
      <w:pPr>
        <w:numPr>
          <w:ilvl w:val="0"/>
          <w:numId w:val="24"/>
        </w:numPr>
        <w:ind w:left="567"/>
        <w:rPr>
          <w:rFonts w:asciiTheme="minorHAnsi" w:hAnsiTheme="minorHAnsi" w:cstheme="minorHAnsi"/>
          <w:lang w:eastAsia="en-GB"/>
        </w:rPr>
      </w:pPr>
      <w:r w:rsidRPr="00AC0438">
        <w:rPr>
          <w:rFonts w:asciiTheme="minorHAnsi" w:hAnsiTheme="minorHAnsi" w:cstheme="minorHAnsi"/>
          <w:lang w:eastAsia="en-GB"/>
        </w:rPr>
        <w:t xml:space="preserve">As we encounter a resurgence of Covid-19 with ever ending new guides as to how to safely live our lives and provide services and as we currently operate under the three tier system, we advise all practices to be cognisant of these directives and make any necessary arrangements when delivering the programme.  </w:t>
      </w:r>
    </w:p>
    <w:p w14:paraId="29C78E2B" w14:textId="1C9F881E" w:rsidR="00AC0438" w:rsidRPr="00AC0438" w:rsidRDefault="00A4613D" w:rsidP="00585AA8">
      <w:pPr>
        <w:numPr>
          <w:ilvl w:val="0"/>
          <w:numId w:val="24"/>
        </w:numPr>
        <w:ind w:left="567"/>
        <w:rPr>
          <w:rFonts w:asciiTheme="minorHAnsi" w:hAnsiTheme="minorHAnsi" w:cstheme="minorHAnsi"/>
          <w:lang w:eastAsia="en-GB"/>
        </w:rPr>
      </w:pPr>
      <w:r w:rsidRPr="00AC0438">
        <w:rPr>
          <w:rFonts w:asciiTheme="minorHAnsi" w:hAnsiTheme="minorHAnsi" w:cstheme="minorHAnsi"/>
          <w:lang w:eastAsia="en-GB"/>
        </w:rPr>
        <w:t>Some</w:t>
      </w:r>
      <w:r w:rsidR="00AC0438" w:rsidRPr="00AC0438">
        <w:rPr>
          <w:rFonts w:asciiTheme="minorHAnsi" w:hAnsiTheme="minorHAnsi" w:cstheme="minorHAnsi"/>
          <w:lang w:eastAsia="en-GB"/>
        </w:rPr>
        <w:t xml:space="preserve"> practices have expressed views as to the difficulties they are experiencing balancing the normal service requirements as well as meeting the expectations of the Flu programme. To this end we would </w:t>
      </w:r>
      <w:r w:rsidR="00585AA8" w:rsidRPr="00AC0438">
        <w:rPr>
          <w:rFonts w:asciiTheme="minorHAnsi" w:hAnsiTheme="minorHAnsi" w:cstheme="minorHAnsi"/>
          <w:lang w:eastAsia="en-GB"/>
        </w:rPr>
        <w:t>advise practices</w:t>
      </w:r>
      <w:r w:rsidR="00AC0438" w:rsidRPr="00AC0438">
        <w:rPr>
          <w:rFonts w:asciiTheme="minorHAnsi" w:hAnsiTheme="minorHAnsi" w:cstheme="minorHAnsi"/>
          <w:lang w:eastAsia="en-GB"/>
        </w:rPr>
        <w:t xml:space="preserve"> to carry out a prioritisation of the work they need to do to meet general demand and to consider which areas could be temporarily paused e.g. minor surgery. A partial re-purposing of extended – hours may allow essential time to assist general practice to deliver prioritised services.  </w:t>
      </w:r>
    </w:p>
    <w:p w14:paraId="67A5E13C" w14:textId="77777777" w:rsidR="00AC0438" w:rsidRPr="00AC0438" w:rsidRDefault="00AC0438" w:rsidP="00AC0438">
      <w:pPr>
        <w:rPr>
          <w:rFonts w:asciiTheme="minorHAnsi" w:hAnsiTheme="minorHAnsi" w:cstheme="minorHAnsi"/>
          <w:b/>
          <w:bCs/>
          <w:lang w:eastAsia="en-GB"/>
        </w:rPr>
      </w:pPr>
    </w:p>
    <w:p w14:paraId="42288D2C" w14:textId="77777777" w:rsidR="00D55BB8" w:rsidRDefault="00D55BB8">
      <w:pPr>
        <w:suppressAutoHyphens w:val="0"/>
        <w:autoSpaceDN/>
        <w:spacing w:line="259" w:lineRule="auto"/>
        <w:textAlignment w:val="auto"/>
        <w:rPr>
          <w:rFonts w:asciiTheme="minorHAnsi" w:eastAsiaTheme="majorEastAsia" w:hAnsiTheme="minorHAnsi" w:cstheme="minorHAnsi"/>
          <w:b/>
          <w:bCs/>
          <w:color w:val="2F5496" w:themeColor="accent1" w:themeShade="BF"/>
          <w:sz w:val="28"/>
          <w:szCs w:val="28"/>
        </w:rPr>
      </w:pPr>
      <w:r>
        <w:rPr>
          <w:rFonts w:asciiTheme="minorHAnsi" w:hAnsiTheme="minorHAnsi" w:cstheme="minorHAnsi"/>
          <w:b/>
          <w:bCs/>
          <w:sz w:val="28"/>
          <w:szCs w:val="28"/>
        </w:rPr>
        <w:br w:type="page"/>
      </w:r>
    </w:p>
    <w:p w14:paraId="68EC7295" w14:textId="7C756F86" w:rsidR="00D55BB8" w:rsidRDefault="00D55BB8" w:rsidP="00D55BB8">
      <w:pPr>
        <w:pStyle w:val="Heading1"/>
        <w:jc w:val="right"/>
        <w:rPr>
          <w:rFonts w:asciiTheme="minorHAnsi" w:hAnsiTheme="minorHAnsi" w:cstheme="minorHAnsi"/>
          <w:b/>
          <w:bCs/>
          <w:sz w:val="28"/>
          <w:szCs w:val="28"/>
        </w:rPr>
      </w:pPr>
      <w:bookmarkStart w:id="12" w:name="_Toc54254222"/>
      <w:r>
        <w:rPr>
          <w:rFonts w:asciiTheme="minorHAnsi" w:hAnsiTheme="minorHAnsi" w:cstheme="minorHAnsi"/>
          <w:b/>
          <w:bCs/>
          <w:sz w:val="28"/>
          <w:szCs w:val="28"/>
        </w:rPr>
        <w:t>Annex A</w:t>
      </w:r>
      <w:bookmarkEnd w:id="12"/>
    </w:p>
    <w:bookmarkStart w:id="13" w:name="_DHSC_Centrally_Supplied"/>
    <w:bookmarkEnd w:id="13"/>
    <w:p w14:paraId="5A082153" w14:textId="2D81BA01" w:rsidR="00724D1E" w:rsidRDefault="002D0928" w:rsidP="002D0928">
      <w:pPr>
        <w:pStyle w:val="Heading2"/>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"https://www.england.nhs.uk/south/wp-content/uploads/sites/6/2020/10/2020.10.09-DHSC-flu-stock-guidance-for-GPs-FINAL.pdf" </w:instrText>
      </w:r>
      <w:r>
        <w:rPr>
          <w:rFonts w:asciiTheme="minorHAnsi" w:hAnsiTheme="minorHAnsi" w:cstheme="minorHAnsi"/>
          <w:sz w:val="24"/>
          <w:szCs w:val="24"/>
        </w:rPr>
        <w:fldChar w:fldCharType="separate"/>
      </w:r>
      <w:bookmarkStart w:id="14" w:name="_Toc54254223"/>
      <w:r w:rsidRPr="002D0928">
        <w:rPr>
          <w:rStyle w:val="Hyperlink"/>
          <w:rFonts w:asciiTheme="minorHAnsi" w:hAnsiTheme="minorHAnsi" w:cstheme="minorHAnsi"/>
          <w:sz w:val="24"/>
          <w:szCs w:val="24"/>
        </w:rPr>
        <w:t>DHSC Centrally Supplied Flu Stock</w:t>
      </w:r>
      <w:r>
        <w:rPr>
          <w:rFonts w:asciiTheme="minorHAnsi" w:hAnsiTheme="minorHAnsi" w:cstheme="minorHAnsi"/>
          <w:sz w:val="24"/>
          <w:szCs w:val="24"/>
        </w:rPr>
        <w:fldChar w:fldCharType="end"/>
      </w:r>
      <w:r>
        <w:rPr>
          <w:rStyle w:val="FootnoteReference"/>
          <w:rFonts w:asciiTheme="minorHAnsi" w:hAnsiTheme="minorHAnsi" w:cstheme="minorHAnsi"/>
          <w:sz w:val="24"/>
          <w:szCs w:val="24"/>
        </w:rPr>
        <w:footnoteReference w:id="2"/>
      </w:r>
      <w:bookmarkEnd w:id="14"/>
    </w:p>
    <w:p w14:paraId="34312889" w14:textId="5CECDFDE" w:rsidR="002D0928" w:rsidRDefault="002D0928" w:rsidP="00724D1E">
      <w:pPr>
        <w:rPr>
          <w:rFonts w:asciiTheme="minorHAnsi" w:hAnsiTheme="minorHAnsi" w:cstheme="minorHAnsi"/>
          <w:sz w:val="24"/>
          <w:szCs w:val="24"/>
        </w:rPr>
      </w:pPr>
    </w:p>
    <w:p w14:paraId="06552829" w14:textId="065FEE96" w:rsidR="002D0928" w:rsidRDefault="002D0928" w:rsidP="00724D1E">
      <w:pPr>
        <w:rPr>
          <w:rFonts w:asciiTheme="minorHAnsi" w:hAnsiTheme="minorHAnsi" w:cstheme="minorHAnsi"/>
          <w:sz w:val="24"/>
          <w:szCs w:val="24"/>
        </w:rPr>
      </w:pPr>
      <w:r w:rsidRPr="002D0928">
        <w:rPr>
          <w:rFonts w:asciiTheme="minorHAnsi" w:hAnsiTheme="minorHAnsi" w:cstheme="minorHAnsi"/>
          <w:noProof/>
          <w:sz w:val="24"/>
          <w:szCs w:val="24"/>
        </w:rPr>
        <w:drawing>
          <wp:inline distT="0" distB="0" distL="0" distR="0" wp14:anchorId="2950AAF0" wp14:editId="0BD4B849">
            <wp:extent cx="5731510" cy="6223000"/>
            <wp:effectExtent l="0" t="0" r="2540" b="6350"/>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7"/>
                    </pic:cNvPr>
                    <pic:cNvPicPr/>
                  </pic:nvPicPr>
                  <pic:blipFill>
                    <a:blip r:embed="rId27"/>
                    <a:stretch>
                      <a:fillRect/>
                    </a:stretch>
                  </pic:blipFill>
                  <pic:spPr>
                    <a:xfrm>
                      <a:off x="0" y="0"/>
                      <a:ext cx="5731510" cy="6223000"/>
                    </a:xfrm>
                    <a:prstGeom prst="rect">
                      <a:avLst/>
                    </a:prstGeom>
                  </pic:spPr>
                </pic:pic>
              </a:graphicData>
            </a:graphic>
          </wp:inline>
        </w:drawing>
      </w:r>
    </w:p>
    <w:p w14:paraId="493FB3B4" w14:textId="77777777" w:rsidR="00724D1E" w:rsidRPr="00724D1E" w:rsidRDefault="00724D1E" w:rsidP="00724D1E">
      <w:pPr>
        <w:rPr>
          <w:rFonts w:asciiTheme="minorHAnsi" w:hAnsiTheme="minorHAnsi" w:cstheme="minorHAnsi"/>
          <w:b/>
          <w:noProof/>
          <w:lang w:eastAsia="en-GB"/>
        </w:rPr>
      </w:pPr>
    </w:p>
    <w:p w14:paraId="26F7CC30" w14:textId="4A0A3CE3" w:rsidR="00D9326C" w:rsidRDefault="00D9326C">
      <w:pPr>
        <w:suppressAutoHyphens w:val="0"/>
        <w:autoSpaceDN/>
        <w:spacing w:line="259" w:lineRule="auto"/>
        <w:textAlignment w:val="auto"/>
        <w:rPr>
          <w:rFonts w:asciiTheme="minorHAnsi" w:hAnsiTheme="minorHAnsi" w:cstheme="minorHAnsi"/>
          <w:sz w:val="24"/>
          <w:szCs w:val="24"/>
        </w:rPr>
      </w:pPr>
    </w:p>
    <w:sectPr w:rsidR="00D9326C" w:rsidSect="00EA6379">
      <w:footerReference w:type="default" r:id="rId28"/>
      <w:headerReference w:type="first" r:id="rId29"/>
      <w:footerReference w:type="first" r:id="rId30"/>
      <w:pgSz w:w="11906" w:h="16838"/>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A911E" w14:textId="77777777" w:rsidR="00250A05" w:rsidRDefault="00250A05" w:rsidP="000114FF">
      <w:pPr>
        <w:spacing w:after="0"/>
      </w:pPr>
      <w:r>
        <w:separator/>
      </w:r>
    </w:p>
  </w:endnote>
  <w:endnote w:type="continuationSeparator" w:id="0">
    <w:p w14:paraId="0CE78A8B" w14:textId="77777777" w:rsidR="00250A05" w:rsidRDefault="00250A05" w:rsidP="000114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D579" w14:textId="77777777" w:rsidR="00A2539C" w:rsidRPr="00A2539C" w:rsidRDefault="00A2539C">
    <w:pPr>
      <w:pStyle w:val="Footer"/>
      <w:jc w:val="center"/>
      <w:rPr>
        <w:color w:val="BFBFBF" w:themeColor="background1" w:themeShade="BF"/>
        <w:sz w:val="16"/>
        <w:szCs w:val="16"/>
      </w:rPr>
    </w:pPr>
    <w:r w:rsidRPr="00A2539C">
      <w:rPr>
        <w:color w:val="BFBFBF" w:themeColor="background1" w:themeShade="BF"/>
        <w:sz w:val="16"/>
        <w:szCs w:val="16"/>
      </w:rPr>
      <w:t xml:space="preserve">Page </w:t>
    </w:r>
    <w:r w:rsidRPr="00A2539C">
      <w:rPr>
        <w:color w:val="BFBFBF" w:themeColor="background1" w:themeShade="BF"/>
        <w:sz w:val="16"/>
        <w:szCs w:val="16"/>
      </w:rPr>
      <w:fldChar w:fldCharType="begin"/>
    </w:r>
    <w:r w:rsidRPr="00A2539C">
      <w:rPr>
        <w:color w:val="BFBFBF" w:themeColor="background1" w:themeShade="BF"/>
        <w:sz w:val="16"/>
        <w:szCs w:val="16"/>
      </w:rPr>
      <w:instrText xml:space="preserve"> PAGE  \* Arabic  \* MERGEFORMAT </w:instrText>
    </w:r>
    <w:r w:rsidRPr="00A2539C">
      <w:rPr>
        <w:color w:val="BFBFBF" w:themeColor="background1" w:themeShade="BF"/>
        <w:sz w:val="16"/>
        <w:szCs w:val="16"/>
      </w:rPr>
      <w:fldChar w:fldCharType="separate"/>
    </w:r>
    <w:r w:rsidRPr="00A2539C">
      <w:rPr>
        <w:noProof/>
        <w:color w:val="BFBFBF" w:themeColor="background1" w:themeShade="BF"/>
        <w:sz w:val="16"/>
        <w:szCs w:val="16"/>
      </w:rPr>
      <w:t>2</w:t>
    </w:r>
    <w:r w:rsidRPr="00A2539C">
      <w:rPr>
        <w:color w:val="BFBFBF" w:themeColor="background1" w:themeShade="BF"/>
        <w:sz w:val="16"/>
        <w:szCs w:val="16"/>
      </w:rPr>
      <w:fldChar w:fldCharType="end"/>
    </w:r>
    <w:r w:rsidRPr="00A2539C">
      <w:rPr>
        <w:color w:val="BFBFBF" w:themeColor="background1" w:themeShade="BF"/>
        <w:sz w:val="16"/>
        <w:szCs w:val="16"/>
      </w:rPr>
      <w:t xml:space="preserve"> of </w:t>
    </w:r>
    <w:r w:rsidRPr="00A2539C">
      <w:rPr>
        <w:color w:val="BFBFBF" w:themeColor="background1" w:themeShade="BF"/>
        <w:sz w:val="16"/>
        <w:szCs w:val="16"/>
      </w:rPr>
      <w:fldChar w:fldCharType="begin"/>
    </w:r>
    <w:r w:rsidRPr="00A2539C">
      <w:rPr>
        <w:color w:val="BFBFBF" w:themeColor="background1" w:themeShade="BF"/>
        <w:sz w:val="16"/>
        <w:szCs w:val="16"/>
      </w:rPr>
      <w:instrText xml:space="preserve"> NUMPAGES  \* Arabic  \* MERGEFORMAT </w:instrText>
    </w:r>
    <w:r w:rsidRPr="00A2539C">
      <w:rPr>
        <w:color w:val="BFBFBF" w:themeColor="background1" w:themeShade="BF"/>
        <w:sz w:val="16"/>
        <w:szCs w:val="16"/>
      </w:rPr>
      <w:fldChar w:fldCharType="separate"/>
    </w:r>
    <w:r w:rsidRPr="00A2539C">
      <w:rPr>
        <w:noProof/>
        <w:color w:val="BFBFBF" w:themeColor="background1" w:themeShade="BF"/>
        <w:sz w:val="16"/>
        <w:szCs w:val="16"/>
      </w:rPr>
      <w:t>2</w:t>
    </w:r>
    <w:r w:rsidRPr="00A2539C">
      <w:rPr>
        <w:color w:val="BFBFBF" w:themeColor="background1" w:themeShade="BF"/>
        <w:sz w:val="16"/>
        <w:szCs w:val="16"/>
      </w:rPr>
      <w:fldChar w:fldCharType="end"/>
    </w:r>
  </w:p>
  <w:p w14:paraId="6FBDE4BD" w14:textId="77777777" w:rsidR="00A2539C" w:rsidRDefault="00A25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2"/>
      <w:gridCol w:w="3063"/>
    </w:tblGrid>
    <w:tr w:rsidR="005F364A" w:rsidRPr="00D01AA4" w14:paraId="3672008C" w14:textId="77777777" w:rsidTr="00832B36">
      <w:trPr>
        <w:trHeight w:val="919"/>
      </w:trPr>
      <w:tc>
        <w:tcPr>
          <w:tcW w:w="6472" w:type="dxa"/>
        </w:tcPr>
        <w:p w14:paraId="07033F26" w14:textId="77777777" w:rsidR="005F364A" w:rsidRPr="00D01AA4" w:rsidRDefault="005F364A" w:rsidP="005B430A">
          <w:pPr>
            <w:pStyle w:val="Footer"/>
            <w:rPr>
              <w:color w:val="808080" w:themeColor="background1" w:themeShade="80"/>
              <w:sz w:val="18"/>
              <w:szCs w:val="18"/>
            </w:rPr>
          </w:pPr>
        </w:p>
      </w:tc>
      <w:tc>
        <w:tcPr>
          <w:tcW w:w="3063" w:type="dxa"/>
        </w:tcPr>
        <w:p w14:paraId="229A46A2" w14:textId="77777777" w:rsidR="005F364A" w:rsidRPr="00D01AA4" w:rsidRDefault="005F364A" w:rsidP="005B430A">
          <w:pPr>
            <w:pStyle w:val="Footer"/>
            <w:rPr>
              <w:color w:val="808080" w:themeColor="background1" w:themeShade="80"/>
              <w:sz w:val="18"/>
              <w:szCs w:val="18"/>
            </w:rPr>
          </w:pPr>
          <w:r w:rsidRPr="00D01AA4">
            <w:rPr>
              <w:color w:val="808080" w:themeColor="background1" w:themeShade="80"/>
              <w:sz w:val="18"/>
              <w:szCs w:val="18"/>
            </w:rPr>
            <w:t>Local Medical Committees for</w:t>
          </w:r>
        </w:p>
        <w:p w14:paraId="139486AD" w14:textId="77777777" w:rsidR="005F364A" w:rsidRPr="00D01AA4" w:rsidRDefault="005F364A" w:rsidP="005B430A">
          <w:pPr>
            <w:pStyle w:val="Footer"/>
            <w:rPr>
              <w:color w:val="808080" w:themeColor="background1" w:themeShade="80"/>
              <w:sz w:val="18"/>
              <w:szCs w:val="18"/>
            </w:rPr>
          </w:pPr>
          <w:r w:rsidRPr="00D01AA4">
            <w:rPr>
              <w:color w:val="808080" w:themeColor="background1" w:themeShade="80"/>
              <w:sz w:val="18"/>
              <w:szCs w:val="18"/>
            </w:rPr>
            <w:t>Croydon, Kingston &amp; Richmond, Surrey, East Sussex, and West Sussex</w:t>
          </w:r>
        </w:p>
        <w:p w14:paraId="43FF5BD0" w14:textId="77777777" w:rsidR="005F364A" w:rsidRPr="00D01AA4" w:rsidRDefault="005F364A" w:rsidP="005B430A">
          <w:pPr>
            <w:pStyle w:val="Footer"/>
            <w:rPr>
              <w:color w:val="808080" w:themeColor="background1" w:themeShade="80"/>
              <w:sz w:val="18"/>
              <w:szCs w:val="18"/>
            </w:rPr>
          </w:pPr>
        </w:p>
      </w:tc>
    </w:tr>
    <w:tr w:rsidR="005F364A" w:rsidRPr="00D01AA4" w14:paraId="7292CD5F" w14:textId="77777777" w:rsidTr="00832B36">
      <w:trPr>
        <w:trHeight w:val="911"/>
      </w:trPr>
      <w:tc>
        <w:tcPr>
          <w:tcW w:w="6472" w:type="dxa"/>
        </w:tcPr>
        <w:p w14:paraId="4E8BC75C" w14:textId="77777777" w:rsidR="005F364A" w:rsidRPr="00D01AA4" w:rsidRDefault="005F364A" w:rsidP="005B430A">
          <w:pPr>
            <w:pStyle w:val="Footer"/>
            <w:rPr>
              <w:color w:val="808080" w:themeColor="background1" w:themeShade="80"/>
              <w:sz w:val="18"/>
              <w:szCs w:val="18"/>
            </w:rPr>
          </w:pPr>
        </w:p>
      </w:tc>
      <w:tc>
        <w:tcPr>
          <w:tcW w:w="3063" w:type="dxa"/>
        </w:tcPr>
        <w:p w14:paraId="636BFFB8" w14:textId="77777777" w:rsidR="005F364A" w:rsidRPr="00D01AA4" w:rsidRDefault="005F364A" w:rsidP="005B430A">
          <w:pPr>
            <w:pStyle w:val="Footer"/>
            <w:rPr>
              <w:color w:val="808080" w:themeColor="background1" w:themeShade="80"/>
              <w:sz w:val="18"/>
              <w:szCs w:val="18"/>
            </w:rPr>
          </w:pPr>
          <w:r w:rsidRPr="00D01AA4">
            <w:rPr>
              <w:color w:val="808080" w:themeColor="background1" w:themeShade="80"/>
              <w:sz w:val="18"/>
              <w:szCs w:val="18"/>
            </w:rPr>
            <w:t>The White House</w:t>
          </w:r>
        </w:p>
        <w:p w14:paraId="413E13E1" w14:textId="77777777" w:rsidR="005F364A" w:rsidRPr="00D01AA4" w:rsidRDefault="005F364A" w:rsidP="005B430A">
          <w:pPr>
            <w:pStyle w:val="Footer"/>
            <w:rPr>
              <w:color w:val="808080" w:themeColor="background1" w:themeShade="80"/>
              <w:sz w:val="18"/>
              <w:szCs w:val="18"/>
            </w:rPr>
          </w:pPr>
          <w:r w:rsidRPr="00D01AA4">
            <w:rPr>
              <w:color w:val="808080" w:themeColor="background1" w:themeShade="80"/>
              <w:sz w:val="18"/>
              <w:szCs w:val="18"/>
            </w:rPr>
            <w:t>18 Church Road</w:t>
          </w:r>
        </w:p>
        <w:p w14:paraId="058D7702" w14:textId="77777777" w:rsidR="005F364A" w:rsidRPr="00D01AA4" w:rsidRDefault="005F364A" w:rsidP="005B430A">
          <w:pPr>
            <w:pStyle w:val="Footer"/>
            <w:rPr>
              <w:color w:val="808080" w:themeColor="background1" w:themeShade="80"/>
              <w:sz w:val="18"/>
              <w:szCs w:val="18"/>
            </w:rPr>
          </w:pPr>
          <w:r w:rsidRPr="00D01AA4">
            <w:rPr>
              <w:color w:val="808080" w:themeColor="background1" w:themeShade="80"/>
              <w:sz w:val="18"/>
              <w:szCs w:val="18"/>
            </w:rPr>
            <w:t>Leatherhead</w:t>
          </w:r>
        </w:p>
        <w:p w14:paraId="1F1B3A28" w14:textId="77777777" w:rsidR="005F364A" w:rsidRPr="00D01AA4" w:rsidRDefault="005F364A" w:rsidP="005B430A">
          <w:pPr>
            <w:pStyle w:val="Footer"/>
            <w:rPr>
              <w:color w:val="808080" w:themeColor="background1" w:themeShade="80"/>
              <w:sz w:val="18"/>
              <w:szCs w:val="18"/>
            </w:rPr>
          </w:pPr>
          <w:r w:rsidRPr="00D01AA4">
            <w:rPr>
              <w:color w:val="808080" w:themeColor="background1" w:themeShade="80"/>
              <w:sz w:val="18"/>
              <w:szCs w:val="18"/>
            </w:rPr>
            <w:t>Surrey KT22 8BB</w:t>
          </w:r>
        </w:p>
      </w:tc>
    </w:tr>
    <w:tr w:rsidR="005F364A" w:rsidRPr="00D01AA4" w14:paraId="4FC3DE70" w14:textId="77777777" w:rsidTr="00832B36">
      <w:trPr>
        <w:trHeight w:val="456"/>
      </w:trPr>
      <w:tc>
        <w:tcPr>
          <w:tcW w:w="6472" w:type="dxa"/>
        </w:tcPr>
        <w:p w14:paraId="04DDA23D" w14:textId="77777777" w:rsidR="005F364A" w:rsidRDefault="005F364A" w:rsidP="005B430A">
          <w:pPr>
            <w:pStyle w:val="Footer"/>
            <w:rPr>
              <w:color w:val="808080" w:themeColor="background1" w:themeShade="80"/>
              <w:sz w:val="18"/>
              <w:szCs w:val="18"/>
            </w:rPr>
          </w:pPr>
        </w:p>
        <w:p w14:paraId="45A5A0DA" w14:textId="77777777" w:rsidR="005F364A" w:rsidRPr="00D01AA4" w:rsidRDefault="005F364A" w:rsidP="005B430A">
          <w:pPr>
            <w:pStyle w:val="Footer"/>
            <w:rPr>
              <w:color w:val="009999"/>
              <w:sz w:val="18"/>
              <w:szCs w:val="18"/>
              <w14:textFill>
                <w14:solidFill>
                  <w14:srgbClr w14:val="009999">
                    <w14:lumMod w14:val="50000"/>
                  </w14:srgbClr>
                </w14:solidFill>
              </w14:textFill>
            </w:rPr>
          </w:pPr>
          <w:r w:rsidRPr="00D01AA4">
            <w:rPr>
              <w:color w:val="009999"/>
              <w:sz w:val="18"/>
              <w:szCs w:val="18"/>
              <w14:textFill>
                <w14:solidFill>
                  <w14:srgbClr w14:val="009999">
                    <w14:lumMod w14:val="50000"/>
                  </w14:srgbClr>
                </w14:solidFill>
              </w14:textFill>
            </w:rPr>
            <w:t>Supporting and Representing all local NHS General Practi</w:t>
          </w:r>
          <w:r>
            <w:rPr>
              <w:color w:val="009999"/>
              <w:sz w:val="18"/>
              <w:szCs w:val="18"/>
              <w14:textFill>
                <w14:solidFill>
                  <w14:srgbClr w14:val="009999">
                    <w14:lumMod w14:val="50000"/>
                  </w14:srgbClr>
                </w14:solidFill>
              </w14:textFill>
            </w:rPr>
            <w:t>ce</w:t>
          </w:r>
        </w:p>
      </w:tc>
      <w:tc>
        <w:tcPr>
          <w:tcW w:w="3063" w:type="dxa"/>
        </w:tcPr>
        <w:p w14:paraId="7E18A8DA" w14:textId="77777777" w:rsidR="005F364A" w:rsidRPr="00D01AA4" w:rsidRDefault="005F364A" w:rsidP="005B430A">
          <w:pPr>
            <w:pStyle w:val="Footer"/>
            <w:rPr>
              <w:color w:val="808080" w:themeColor="background1" w:themeShade="80"/>
              <w:sz w:val="18"/>
              <w:szCs w:val="18"/>
            </w:rPr>
          </w:pPr>
        </w:p>
        <w:p w14:paraId="1312B559" w14:textId="77777777" w:rsidR="005F364A" w:rsidRPr="00D01AA4" w:rsidRDefault="005F364A" w:rsidP="005B430A">
          <w:pPr>
            <w:pStyle w:val="Footer"/>
            <w:rPr>
              <w:b/>
              <w:bCs/>
              <w:color w:val="808080" w:themeColor="background1" w:themeShade="80"/>
              <w:sz w:val="18"/>
              <w:szCs w:val="18"/>
            </w:rPr>
          </w:pPr>
          <w:r w:rsidRPr="00D01AA4">
            <w:rPr>
              <w:b/>
              <w:bCs/>
              <w:color w:val="808080" w:themeColor="background1" w:themeShade="80"/>
              <w:sz w:val="18"/>
              <w:szCs w:val="18"/>
            </w:rPr>
            <w:t>Chief Executive: Dr Julius Parker</w:t>
          </w:r>
        </w:p>
      </w:tc>
    </w:tr>
  </w:tbl>
  <w:p w14:paraId="364CFF06" w14:textId="77777777" w:rsidR="005F364A" w:rsidRDefault="005F3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EA6DA" w14:textId="77777777" w:rsidR="00250A05" w:rsidRDefault="00250A05" w:rsidP="000114FF">
      <w:pPr>
        <w:spacing w:after="0"/>
      </w:pPr>
      <w:r>
        <w:separator/>
      </w:r>
    </w:p>
  </w:footnote>
  <w:footnote w:type="continuationSeparator" w:id="0">
    <w:p w14:paraId="351D3026" w14:textId="77777777" w:rsidR="00250A05" w:rsidRDefault="00250A05" w:rsidP="000114FF">
      <w:pPr>
        <w:spacing w:after="0"/>
      </w:pPr>
      <w:r>
        <w:continuationSeparator/>
      </w:r>
    </w:p>
  </w:footnote>
  <w:footnote w:id="1">
    <w:p w14:paraId="32EF9684" w14:textId="065E5BC1" w:rsidR="00D9326C" w:rsidRDefault="00D9326C">
      <w:pPr>
        <w:pStyle w:val="FootnoteText"/>
      </w:pPr>
      <w:r>
        <w:rPr>
          <w:rStyle w:val="FootnoteReference"/>
        </w:rPr>
        <w:footnoteRef/>
      </w:r>
      <w:r>
        <w:t xml:space="preserve"> </w:t>
      </w:r>
      <w:hyperlink r:id="rId1" w:anchor="seasonal-influenza" w:history="1">
        <w:r w:rsidRPr="00331241">
          <w:rPr>
            <w:rStyle w:val="Hyperlink"/>
          </w:rPr>
          <w:t>https://digital.nhs.uk/data-and-information/data-collections-and-data-sets/data-collections/quality-and-outcomes-framework-qof/quality-and-outcome-framework-qof-business-rules/enhanced-services-es-vaccination-and-immunisation-vi-and-core-contract-components-2020-2021#seasonal-influenza</w:t>
        </w:r>
      </w:hyperlink>
      <w:r>
        <w:t xml:space="preserve"> </w:t>
      </w:r>
    </w:p>
  </w:footnote>
  <w:footnote w:id="2">
    <w:p w14:paraId="64C976DA" w14:textId="078120B4" w:rsidR="002D0928" w:rsidRDefault="002D0928">
      <w:pPr>
        <w:pStyle w:val="FootnoteText"/>
      </w:pPr>
      <w:r>
        <w:rPr>
          <w:rStyle w:val="FootnoteReference"/>
        </w:rPr>
        <w:footnoteRef/>
      </w:r>
      <w:r>
        <w:t xml:space="preserve"> </w:t>
      </w:r>
      <w:hyperlink r:id="rId2" w:history="1">
        <w:r w:rsidRPr="00331241">
          <w:rPr>
            <w:rStyle w:val="Hyperlink"/>
          </w:rPr>
          <w:t>https://www.england.nhs.uk/south/wp-content/uploads/sites/6/2020/10/2020.10.09-DHSC-flu-stock-guidance-for-GPs-FINAL.pdf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1BFB" w14:textId="4639828B" w:rsidR="005F364A" w:rsidRDefault="005F364A" w:rsidP="005B430A">
    <w:pPr>
      <w:tabs>
        <w:tab w:val="left" w:pos="7253"/>
      </w:tabs>
    </w:pPr>
    <w:r>
      <w:rPr>
        <w:noProof/>
        <w:lang w:eastAsia="en-GB"/>
      </w:rPr>
      <w:drawing>
        <wp:anchor distT="0" distB="0" distL="114300" distR="114300" simplePos="0" relativeHeight="251659264" behindDoc="1" locked="0" layoutInCell="1" allowOverlap="1" wp14:anchorId="558D32EA" wp14:editId="24E726D5">
          <wp:simplePos x="0" y="0"/>
          <wp:positionH relativeFrom="column">
            <wp:posOffset>3693795</wp:posOffset>
          </wp:positionH>
          <wp:positionV relativeFrom="paragraph">
            <wp:posOffset>-73660</wp:posOffset>
          </wp:positionV>
          <wp:extent cx="2200275" cy="800100"/>
          <wp:effectExtent l="0" t="0" r="9525" b="0"/>
          <wp:wrapSquare wrapText="bothSides"/>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 xml:space="preserve">RELEASE NO: </w:t>
    </w:r>
    <w:r w:rsidR="00A50958">
      <w:rPr>
        <w:b/>
        <w:bCs/>
      </w:rPr>
      <w:t>3</w:t>
    </w:r>
    <w:r>
      <w:rPr>
        <w:b/>
        <w:bCs/>
      </w:rPr>
      <w:t xml:space="preserve"> – </w:t>
    </w:r>
    <w:r w:rsidR="00A50958">
      <w:rPr>
        <w:b/>
        <w:bCs/>
      </w:rPr>
      <w:t>October 2020</w:t>
    </w:r>
  </w:p>
  <w:p w14:paraId="7DDA7479" w14:textId="77777777" w:rsidR="005F364A" w:rsidRDefault="005F3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3976"/>
    <w:multiLevelType w:val="multilevel"/>
    <w:tmpl w:val="37B2F5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305F90"/>
    <w:multiLevelType w:val="hybridMultilevel"/>
    <w:tmpl w:val="5514534A"/>
    <w:lvl w:ilvl="0" w:tplc="82381704">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FB4336"/>
    <w:multiLevelType w:val="hybridMultilevel"/>
    <w:tmpl w:val="5094BB42"/>
    <w:lvl w:ilvl="0" w:tplc="8238170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417BB5"/>
    <w:multiLevelType w:val="hybridMultilevel"/>
    <w:tmpl w:val="2B4436E2"/>
    <w:lvl w:ilvl="0" w:tplc="8238170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601AC"/>
    <w:multiLevelType w:val="hybridMultilevel"/>
    <w:tmpl w:val="B16066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7A2ABD"/>
    <w:multiLevelType w:val="hybridMultilevel"/>
    <w:tmpl w:val="9D16F186"/>
    <w:lvl w:ilvl="0" w:tplc="2C12068E">
      <w:start w:val="1"/>
      <w:numFmt w:val="bullet"/>
      <w:lvlText w:val=""/>
      <w:lvlJc w:val="left"/>
      <w:pPr>
        <w:ind w:left="1146" w:hanging="360"/>
      </w:pPr>
      <w:rPr>
        <w:rFonts w:ascii="Wingdings" w:hAnsi="Wingdings"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60D1AE9"/>
    <w:multiLevelType w:val="hybridMultilevel"/>
    <w:tmpl w:val="164A7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764DFE"/>
    <w:multiLevelType w:val="multilevel"/>
    <w:tmpl w:val="B468906C"/>
    <w:lvl w:ilvl="0">
      <w:start w:val="1"/>
      <w:numFmt w:val="bullet"/>
      <w:lvlText w:val=""/>
      <w:lvlJc w:val="left"/>
      <w:pPr>
        <w:ind w:left="928" w:hanging="360"/>
      </w:pPr>
      <w:rPr>
        <w:rFonts w:ascii="Symbol" w:hAnsi="Symbol" w:hint="default"/>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8" w15:restartNumberingAfterBreak="0">
    <w:nsid w:val="292072B1"/>
    <w:multiLevelType w:val="hybridMultilevel"/>
    <w:tmpl w:val="8A72C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86436B"/>
    <w:multiLevelType w:val="hybridMultilevel"/>
    <w:tmpl w:val="B6705906"/>
    <w:lvl w:ilvl="0" w:tplc="82381704">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0" w15:restartNumberingAfterBreak="0">
    <w:nsid w:val="2BF517A4"/>
    <w:multiLevelType w:val="hybridMultilevel"/>
    <w:tmpl w:val="3A4A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866EF"/>
    <w:multiLevelType w:val="hybridMultilevel"/>
    <w:tmpl w:val="8AFEB228"/>
    <w:lvl w:ilvl="0" w:tplc="8238170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8520C0"/>
    <w:multiLevelType w:val="hybridMultilevel"/>
    <w:tmpl w:val="4A32C88A"/>
    <w:lvl w:ilvl="0" w:tplc="B480031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5280E"/>
    <w:multiLevelType w:val="hybridMultilevel"/>
    <w:tmpl w:val="D71E45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8832DA6"/>
    <w:multiLevelType w:val="hybridMultilevel"/>
    <w:tmpl w:val="F338408C"/>
    <w:lvl w:ilvl="0" w:tplc="B48003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A6E1C"/>
    <w:multiLevelType w:val="hybridMultilevel"/>
    <w:tmpl w:val="D11E2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956744"/>
    <w:multiLevelType w:val="hybridMultilevel"/>
    <w:tmpl w:val="75246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E56691"/>
    <w:multiLevelType w:val="hybridMultilevel"/>
    <w:tmpl w:val="13E6A7FA"/>
    <w:lvl w:ilvl="0" w:tplc="823817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6432C"/>
    <w:multiLevelType w:val="multilevel"/>
    <w:tmpl w:val="4F56FB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0D36CB"/>
    <w:multiLevelType w:val="hybridMultilevel"/>
    <w:tmpl w:val="1CB6BEF6"/>
    <w:lvl w:ilvl="0" w:tplc="8238170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6A0B9B"/>
    <w:multiLevelType w:val="hybridMultilevel"/>
    <w:tmpl w:val="7632B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D31AD2"/>
    <w:multiLevelType w:val="hybridMultilevel"/>
    <w:tmpl w:val="8D20715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C764E0"/>
    <w:multiLevelType w:val="hybridMultilevel"/>
    <w:tmpl w:val="5DEECF32"/>
    <w:lvl w:ilvl="0" w:tplc="B48003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773E0"/>
    <w:multiLevelType w:val="hybridMultilevel"/>
    <w:tmpl w:val="8BB0637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007026"/>
    <w:multiLevelType w:val="hybridMultilevel"/>
    <w:tmpl w:val="5F747908"/>
    <w:lvl w:ilvl="0" w:tplc="82381704">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3C77BC7"/>
    <w:multiLevelType w:val="hybridMultilevel"/>
    <w:tmpl w:val="5E36B0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D74008"/>
    <w:multiLevelType w:val="multilevel"/>
    <w:tmpl w:val="740A3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953645"/>
    <w:multiLevelType w:val="hybridMultilevel"/>
    <w:tmpl w:val="A2622A88"/>
    <w:lvl w:ilvl="0" w:tplc="82381704">
      <w:start w:val="1"/>
      <w:numFmt w:val="bullet"/>
      <w:lvlText w:val=""/>
      <w:lvlJc w:val="left"/>
      <w:pPr>
        <w:ind w:left="786" w:hanging="360"/>
      </w:pPr>
      <w:rPr>
        <w:rFonts w:ascii="Wingdings" w:hAnsi="Wingdings" w:hint="default"/>
        <w:b/>
        <w:bCs/>
      </w:rPr>
    </w:lvl>
    <w:lvl w:ilvl="1" w:tplc="82381704">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BD02BC"/>
    <w:multiLevelType w:val="hybridMultilevel"/>
    <w:tmpl w:val="1514181A"/>
    <w:lvl w:ilvl="0" w:tplc="FCC6E3D8">
      <w:start w:val="1"/>
      <w:numFmt w:val="decimal"/>
      <w:lvlText w:val="%1."/>
      <w:lvlJc w:val="left"/>
      <w:pPr>
        <w:ind w:left="1211" w:hanging="360"/>
      </w:pPr>
      <w:rPr>
        <w:rFonts w:hint="default"/>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7B7F13E7"/>
    <w:multiLevelType w:val="hybridMultilevel"/>
    <w:tmpl w:val="5602F6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CD2535A"/>
    <w:multiLevelType w:val="hybridMultilevel"/>
    <w:tmpl w:val="EAA08AD8"/>
    <w:lvl w:ilvl="0" w:tplc="823817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6"/>
  </w:num>
  <w:num w:numId="4">
    <w:abstractNumId w:val="20"/>
  </w:num>
  <w:num w:numId="5">
    <w:abstractNumId w:val="15"/>
  </w:num>
  <w:num w:numId="6">
    <w:abstractNumId w:val="25"/>
  </w:num>
  <w:num w:numId="7">
    <w:abstractNumId w:val="22"/>
  </w:num>
  <w:num w:numId="8">
    <w:abstractNumId w:val="12"/>
  </w:num>
  <w:num w:numId="9">
    <w:abstractNumId w:val="0"/>
  </w:num>
  <w:num w:numId="10">
    <w:abstractNumId w:val="21"/>
  </w:num>
  <w:num w:numId="11">
    <w:abstractNumId w:val="24"/>
  </w:num>
  <w:num w:numId="12">
    <w:abstractNumId w:val="1"/>
  </w:num>
  <w:num w:numId="13">
    <w:abstractNumId w:val="17"/>
  </w:num>
  <w:num w:numId="14">
    <w:abstractNumId w:val="4"/>
  </w:num>
  <w:num w:numId="15">
    <w:abstractNumId w:val="6"/>
  </w:num>
  <w:num w:numId="16">
    <w:abstractNumId w:val="10"/>
  </w:num>
  <w:num w:numId="17">
    <w:abstractNumId w:val="13"/>
  </w:num>
  <w:num w:numId="18">
    <w:abstractNumId w:val="29"/>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8"/>
  </w:num>
  <w:num w:numId="23">
    <w:abstractNumId w:val="14"/>
  </w:num>
  <w:num w:numId="24">
    <w:abstractNumId w:val="27"/>
  </w:num>
  <w:num w:numId="25">
    <w:abstractNumId w:val="11"/>
  </w:num>
  <w:num w:numId="26">
    <w:abstractNumId w:val="19"/>
  </w:num>
  <w:num w:numId="27">
    <w:abstractNumId w:val="9"/>
  </w:num>
  <w:num w:numId="28">
    <w:abstractNumId w:val="28"/>
  </w:num>
  <w:num w:numId="29">
    <w:abstractNumId w:val="2"/>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4B"/>
    <w:rsid w:val="000114FF"/>
    <w:rsid w:val="00043014"/>
    <w:rsid w:val="00056FA4"/>
    <w:rsid w:val="000A17B0"/>
    <w:rsid w:val="000B3472"/>
    <w:rsid w:val="000C1621"/>
    <w:rsid w:val="000D2D7D"/>
    <w:rsid w:val="000E0A72"/>
    <w:rsid w:val="000E312B"/>
    <w:rsid w:val="000F25FA"/>
    <w:rsid w:val="00107F6E"/>
    <w:rsid w:val="00113DB5"/>
    <w:rsid w:val="001414A5"/>
    <w:rsid w:val="001570D9"/>
    <w:rsid w:val="00170302"/>
    <w:rsid w:val="00184D5B"/>
    <w:rsid w:val="001964CE"/>
    <w:rsid w:val="001A7E4B"/>
    <w:rsid w:val="001B0333"/>
    <w:rsid w:val="001B4A00"/>
    <w:rsid w:val="001C26C5"/>
    <w:rsid w:val="00202663"/>
    <w:rsid w:val="002058DE"/>
    <w:rsid w:val="0024096B"/>
    <w:rsid w:val="00242F4B"/>
    <w:rsid w:val="00250A05"/>
    <w:rsid w:val="00251F56"/>
    <w:rsid w:val="002626E5"/>
    <w:rsid w:val="002704AE"/>
    <w:rsid w:val="002741E1"/>
    <w:rsid w:val="002C7FDA"/>
    <w:rsid w:val="002D0928"/>
    <w:rsid w:val="002E7945"/>
    <w:rsid w:val="002F00DB"/>
    <w:rsid w:val="00314D85"/>
    <w:rsid w:val="00343030"/>
    <w:rsid w:val="00343819"/>
    <w:rsid w:val="00360B55"/>
    <w:rsid w:val="00375CCB"/>
    <w:rsid w:val="00393F62"/>
    <w:rsid w:val="003A31FA"/>
    <w:rsid w:val="003A5221"/>
    <w:rsid w:val="003B7BEE"/>
    <w:rsid w:val="003C1999"/>
    <w:rsid w:val="003E3AA2"/>
    <w:rsid w:val="003F16C3"/>
    <w:rsid w:val="0043135B"/>
    <w:rsid w:val="00433FE8"/>
    <w:rsid w:val="00466A1A"/>
    <w:rsid w:val="0047400F"/>
    <w:rsid w:val="00474CAA"/>
    <w:rsid w:val="004B4EC0"/>
    <w:rsid w:val="004D1EDA"/>
    <w:rsid w:val="005468FA"/>
    <w:rsid w:val="00550B1D"/>
    <w:rsid w:val="00550F3C"/>
    <w:rsid w:val="00552879"/>
    <w:rsid w:val="00553C78"/>
    <w:rsid w:val="00565A15"/>
    <w:rsid w:val="00575847"/>
    <w:rsid w:val="00585AA8"/>
    <w:rsid w:val="005B430A"/>
    <w:rsid w:val="005F364A"/>
    <w:rsid w:val="005F6AD7"/>
    <w:rsid w:val="00613CC9"/>
    <w:rsid w:val="006678AE"/>
    <w:rsid w:val="00682356"/>
    <w:rsid w:val="00693738"/>
    <w:rsid w:val="0069789E"/>
    <w:rsid w:val="006B4525"/>
    <w:rsid w:val="006F4787"/>
    <w:rsid w:val="006F4B36"/>
    <w:rsid w:val="006F6407"/>
    <w:rsid w:val="00724D1E"/>
    <w:rsid w:val="0072519F"/>
    <w:rsid w:val="007374C3"/>
    <w:rsid w:val="0074011A"/>
    <w:rsid w:val="007514E7"/>
    <w:rsid w:val="00761874"/>
    <w:rsid w:val="00781135"/>
    <w:rsid w:val="007A2F08"/>
    <w:rsid w:val="007E1E98"/>
    <w:rsid w:val="007F60F7"/>
    <w:rsid w:val="00825D66"/>
    <w:rsid w:val="00832B36"/>
    <w:rsid w:val="00835A7D"/>
    <w:rsid w:val="00844D36"/>
    <w:rsid w:val="0084622F"/>
    <w:rsid w:val="0086672F"/>
    <w:rsid w:val="008A084B"/>
    <w:rsid w:val="008B4992"/>
    <w:rsid w:val="008D59C5"/>
    <w:rsid w:val="008D5A59"/>
    <w:rsid w:val="009055DB"/>
    <w:rsid w:val="00923818"/>
    <w:rsid w:val="00927092"/>
    <w:rsid w:val="009339D8"/>
    <w:rsid w:val="00940920"/>
    <w:rsid w:val="00991265"/>
    <w:rsid w:val="00992647"/>
    <w:rsid w:val="009A2F0C"/>
    <w:rsid w:val="009A4857"/>
    <w:rsid w:val="009C3AE1"/>
    <w:rsid w:val="009D337C"/>
    <w:rsid w:val="009F2389"/>
    <w:rsid w:val="00A200F7"/>
    <w:rsid w:val="00A2539C"/>
    <w:rsid w:val="00A30327"/>
    <w:rsid w:val="00A30964"/>
    <w:rsid w:val="00A4613D"/>
    <w:rsid w:val="00A50958"/>
    <w:rsid w:val="00A52707"/>
    <w:rsid w:val="00AC0438"/>
    <w:rsid w:val="00AD3565"/>
    <w:rsid w:val="00AE136F"/>
    <w:rsid w:val="00AE42A0"/>
    <w:rsid w:val="00B03890"/>
    <w:rsid w:val="00B27B97"/>
    <w:rsid w:val="00B341B8"/>
    <w:rsid w:val="00B6330B"/>
    <w:rsid w:val="00B83ACD"/>
    <w:rsid w:val="00B87D4F"/>
    <w:rsid w:val="00B959F0"/>
    <w:rsid w:val="00BC3213"/>
    <w:rsid w:val="00BE10DE"/>
    <w:rsid w:val="00BF0B0F"/>
    <w:rsid w:val="00C07988"/>
    <w:rsid w:val="00C33408"/>
    <w:rsid w:val="00C371E1"/>
    <w:rsid w:val="00C45F04"/>
    <w:rsid w:val="00C86929"/>
    <w:rsid w:val="00C94A8A"/>
    <w:rsid w:val="00D00D0F"/>
    <w:rsid w:val="00D0234A"/>
    <w:rsid w:val="00D206E7"/>
    <w:rsid w:val="00D220ED"/>
    <w:rsid w:val="00D45E47"/>
    <w:rsid w:val="00D55BB8"/>
    <w:rsid w:val="00D77343"/>
    <w:rsid w:val="00D85177"/>
    <w:rsid w:val="00D9326C"/>
    <w:rsid w:val="00D94E95"/>
    <w:rsid w:val="00DA021B"/>
    <w:rsid w:val="00DD7FCF"/>
    <w:rsid w:val="00DE3B08"/>
    <w:rsid w:val="00E02E28"/>
    <w:rsid w:val="00E34013"/>
    <w:rsid w:val="00E6589C"/>
    <w:rsid w:val="00E67CA2"/>
    <w:rsid w:val="00E8360A"/>
    <w:rsid w:val="00E940E7"/>
    <w:rsid w:val="00EA6379"/>
    <w:rsid w:val="00EB323B"/>
    <w:rsid w:val="00EB5056"/>
    <w:rsid w:val="00EC14BF"/>
    <w:rsid w:val="00F23C6F"/>
    <w:rsid w:val="00F328D7"/>
    <w:rsid w:val="00F47C4B"/>
    <w:rsid w:val="00F50BA1"/>
    <w:rsid w:val="00F86C42"/>
    <w:rsid w:val="00FC00FA"/>
    <w:rsid w:val="00FD473B"/>
    <w:rsid w:val="00FE586A"/>
    <w:rsid w:val="00FF17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3C62D"/>
  <w15:chartTrackingRefBased/>
  <w15:docId w15:val="{9C03CD0A-2696-4E74-A18A-0B49AB9F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84B"/>
    <w:pPr>
      <w:suppressAutoHyphens/>
      <w:autoSpaceDN w:val="0"/>
      <w:spacing w:line="240" w:lineRule="auto"/>
      <w:textAlignment w:val="baseline"/>
    </w:pPr>
    <w:rPr>
      <w:rFonts w:ascii="Calibri" w:eastAsia="Calibri" w:hAnsi="Calibri" w:cs="Times New Roman"/>
      <w:lang w:eastAsia="en-US"/>
    </w:rPr>
  </w:style>
  <w:style w:type="paragraph" w:styleId="Heading1">
    <w:name w:val="heading 1"/>
    <w:basedOn w:val="Normal"/>
    <w:next w:val="Normal"/>
    <w:link w:val="Heading1Char"/>
    <w:uiPriority w:val="9"/>
    <w:qFormat/>
    <w:rsid w:val="008A08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43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33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84B"/>
    <w:pPr>
      <w:ind w:left="720"/>
    </w:pPr>
  </w:style>
  <w:style w:type="character" w:styleId="Hyperlink">
    <w:name w:val="Hyperlink"/>
    <w:basedOn w:val="DefaultParagraphFont"/>
    <w:uiPriority w:val="99"/>
    <w:rsid w:val="008A084B"/>
    <w:rPr>
      <w:color w:val="0563C1"/>
      <w:u w:val="single"/>
    </w:rPr>
  </w:style>
  <w:style w:type="character" w:customStyle="1" w:styleId="Heading1Char">
    <w:name w:val="Heading 1 Char"/>
    <w:basedOn w:val="DefaultParagraphFont"/>
    <w:link w:val="Heading1"/>
    <w:uiPriority w:val="9"/>
    <w:rsid w:val="008A084B"/>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qFormat/>
    <w:rsid w:val="008A084B"/>
    <w:pPr>
      <w:suppressAutoHyphens w:val="0"/>
      <w:spacing w:line="251" w:lineRule="auto"/>
      <w:textAlignment w:val="auto"/>
    </w:pPr>
    <w:rPr>
      <w:rFonts w:ascii="Calibri Light" w:eastAsia="Times New Roman" w:hAnsi="Calibri Light" w:cs="Times New Roman"/>
      <w:color w:val="2F5496"/>
      <w:lang w:val="en-US"/>
    </w:rPr>
  </w:style>
  <w:style w:type="character" w:customStyle="1" w:styleId="Heading3Char">
    <w:name w:val="Heading 3 Char"/>
    <w:basedOn w:val="DefaultParagraphFont"/>
    <w:link w:val="Heading3"/>
    <w:uiPriority w:val="9"/>
    <w:rsid w:val="00B6330B"/>
    <w:rPr>
      <w:rFonts w:asciiTheme="majorHAnsi" w:eastAsiaTheme="majorEastAsia" w:hAnsiTheme="majorHAnsi" w:cstheme="majorBidi"/>
      <w:color w:val="1F3763" w:themeColor="accent1" w:themeShade="7F"/>
      <w:sz w:val="24"/>
      <w:szCs w:val="24"/>
      <w:lang w:eastAsia="en-US"/>
    </w:rPr>
  </w:style>
  <w:style w:type="character" w:styleId="CommentReference">
    <w:name w:val="annotation reference"/>
    <w:basedOn w:val="DefaultParagraphFont"/>
    <w:uiPriority w:val="99"/>
    <w:semiHidden/>
    <w:unhideWhenUsed/>
    <w:rsid w:val="00B6330B"/>
    <w:rPr>
      <w:sz w:val="16"/>
      <w:szCs w:val="16"/>
    </w:rPr>
  </w:style>
  <w:style w:type="paragraph" w:styleId="CommentText">
    <w:name w:val="annotation text"/>
    <w:basedOn w:val="Normal"/>
    <w:link w:val="CommentTextChar"/>
    <w:uiPriority w:val="99"/>
    <w:semiHidden/>
    <w:unhideWhenUsed/>
    <w:rsid w:val="00B6330B"/>
    <w:rPr>
      <w:sz w:val="20"/>
      <w:szCs w:val="20"/>
    </w:rPr>
  </w:style>
  <w:style w:type="character" w:customStyle="1" w:styleId="CommentTextChar">
    <w:name w:val="Comment Text Char"/>
    <w:basedOn w:val="DefaultParagraphFont"/>
    <w:link w:val="CommentText"/>
    <w:uiPriority w:val="99"/>
    <w:semiHidden/>
    <w:rsid w:val="00B6330B"/>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6330B"/>
    <w:rPr>
      <w:b/>
      <w:bCs/>
    </w:rPr>
  </w:style>
  <w:style w:type="character" w:customStyle="1" w:styleId="CommentSubjectChar">
    <w:name w:val="Comment Subject Char"/>
    <w:basedOn w:val="CommentTextChar"/>
    <w:link w:val="CommentSubject"/>
    <w:uiPriority w:val="99"/>
    <w:semiHidden/>
    <w:rsid w:val="00B6330B"/>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B633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0B"/>
    <w:rPr>
      <w:rFonts w:ascii="Segoe UI" w:eastAsia="Calibri" w:hAnsi="Segoe UI" w:cs="Segoe UI"/>
      <w:sz w:val="18"/>
      <w:szCs w:val="18"/>
      <w:lang w:eastAsia="en-US"/>
    </w:rPr>
  </w:style>
  <w:style w:type="table" w:styleId="TableGrid">
    <w:name w:val="Table Grid"/>
    <w:basedOn w:val="TableNormal"/>
    <w:uiPriority w:val="39"/>
    <w:rsid w:val="007E1E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1E98"/>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114FF"/>
    <w:pPr>
      <w:tabs>
        <w:tab w:val="center" w:pos="4513"/>
        <w:tab w:val="right" w:pos="9026"/>
      </w:tabs>
      <w:spacing w:after="0"/>
    </w:pPr>
  </w:style>
  <w:style w:type="character" w:customStyle="1" w:styleId="HeaderChar">
    <w:name w:val="Header Char"/>
    <w:basedOn w:val="DefaultParagraphFont"/>
    <w:link w:val="Header"/>
    <w:uiPriority w:val="99"/>
    <w:rsid w:val="000114FF"/>
    <w:rPr>
      <w:rFonts w:ascii="Calibri" w:eastAsia="Calibri" w:hAnsi="Calibri" w:cs="Times New Roman"/>
      <w:lang w:eastAsia="en-US"/>
    </w:rPr>
  </w:style>
  <w:style w:type="paragraph" w:styleId="Footer">
    <w:name w:val="footer"/>
    <w:basedOn w:val="Normal"/>
    <w:link w:val="FooterChar"/>
    <w:uiPriority w:val="99"/>
    <w:unhideWhenUsed/>
    <w:rsid w:val="000114FF"/>
    <w:pPr>
      <w:tabs>
        <w:tab w:val="center" w:pos="4513"/>
        <w:tab w:val="right" w:pos="9026"/>
      </w:tabs>
      <w:spacing w:after="0"/>
    </w:pPr>
  </w:style>
  <w:style w:type="character" w:customStyle="1" w:styleId="FooterChar">
    <w:name w:val="Footer Char"/>
    <w:basedOn w:val="DefaultParagraphFont"/>
    <w:link w:val="Footer"/>
    <w:uiPriority w:val="99"/>
    <w:rsid w:val="000114FF"/>
    <w:rPr>
      <w:rFonts w:ascii="Calibri" w:eastAsia="Calibri" w:hAnsi="Calibri" w:cs="Times New Roman"/>
      <w:lang w:eastAsia="en-US"/>
    </w:rPr>
  </w:style>
  <w:style w:type="paragraph" w:customStyle="1" w:styleId="xmsolistparagraph">
    <w:name w:val="x_msolistparagraph"/>
    <w:basedOn w:val="Normal"/>
    <w:rsid w:val="00825D66"/>
    <w:pPr>
      <w:suppressAutoHyphens w:val="0"/>
      <w:autoSpaceDN/>
      <w:spacing w:after="0"/>
      <w:ind w:left="720"/>
      <w:textAlignment w:val="auto"/>
    </w:pPr>
    <w:rPr>
      <w:rFonts w:eastAsiaTheme="minorEastAsia" w:cs="Calibri"/>
      <w:lang w:eastAsia="zh-CN"/>
    </w:rPr>
  </w:style>
  <w:style w:type="character" w:styleId="UnresolvedMention">
    <w:name w:val="Unresolved Mention"/>
    <w:basedOn w:val="DefaultParagraphFont"/>
    <w:uiPriority w:val="99"/>
    <w:semiHidden/>
    <w:unhideWhenUsed/>
    <w:rsid w:val="005B430A"/>
    <w:rPr>
      <w:color w:val="605E5C"/>
      <w:shd w:val="clear" w:color="auto" w:fill="E1DFDD"/>
    </w:rPr>
  </w:style>
  <w:style w:type="paragraph" w:styleId="TOC1">
    <w:name w:val="toc 1"/>
    <w:basedOn w:val="Normal"/>
    <w:next w:val="Normal"/>
    <w:autoRedefine/>
    <w:uiPriority w:val="39"/>
    <w:unhideWhenUsed/>
    <w:rsid w:val="005B430A"/>
    <w:pPr>
      <w:spacing w:after="100"/>
    </w:pPr>
  </w:style>
  <w:style w:type="paragraph" w:styleId="TOC3">
    <w:name w:val="toc 3"/>
    <w:basedOn w:val="Normal"/>
    <w:next w:val="Normal"/>
    <w:autoRedefine/>
    <w:uiPriority w:val="39"/>
    <w:unhideWhenUsed/>
    <w:rsid w:val="005B430A"/>
    <w:pPr>
      <w:spacing w:after="100"/>
      <w:ind w:left="440"/>
    </w:pPr>
  </w:style>
  <w:style w:type="character" w:customStyle="1" w:styleId="Heading2Char">
    <w:name w:val="Heading 2 Char"/>
    <w:basedOn w:val="DefaultParagraphFont"/>
    <w:link w:val="Heading2"/>
    <w:uiPriority w:val="9"/>
    <w:rsid w:val="005B430A"/>
    <w:rPr>
      <w:rFonts w:asciiTheme="majorHAnsi" w:eastAsiaTheme="majorEastAsia" w:hAnsiTheme="majorHAnsi" w:cstheme="majorBidi"/>
      <w:color w:val="2F5496" w:themeColor="accent1" w:themeShade="BF"/>
      <w:sz w:val="26"/>
      <w:szCs w:val="26"/>
      <w:lang w:eastAsia="en-US"/>
    </w:rPr>
  </w:style>
  <w:style w:type="paragraph" w:styleId="TOC2">
    <w:name w:val="toc 2"/>
    <w:basedOn w:val="Normal"/>
    <w:next w:val="Normal"/>
    <w:autoRedefine/>
    <w:uiPriority w:val="39"/>
    <w:unhideWhenUsed/>
    <w:rsid w:val="002F00DB"/>
    <w:pPr>
      <w:spacing w:after="100"/>
      <w:ind w:left="220"/>
    </w:pPr>
  </w:style>
  <w:style w:type="character" w:styleId="FollowedHyperlink">
    <w:name w:val="FollowedHyperlink"/>
    <w:basedOn w:val="DefaultParagraphFont"/>
    <w:uiPriority w:val="99"/>
    <w:semiHidden/>
    <w:unhideWhenUsed/>
    <w:rsid w:val="006F4787"/>
    <w:rPr>
      <w:color w:val="954F72" w:themeColor="followedHyperlink"/>
      <w:u w:val="single"/>
    </w:rPr>
  </w:style>
  <w:style w:type="paragraph" w:styleId="FootnoteText">
    <w:name w:val="footnote text"/>
    <w:basedOn w:val="Normal"/>
    <w:link w:val="FootnoteTextChar"/>
    <w:uiPriority w:val="99"/>
    <w:semiHidden/>
    <w:unhideWhenUsed/>
    <w:rsid w:val="002D0928"/>
    <w:pPr>
      <w:spacing w:after="0"/>
    </w:pPr>
    <w:rPr>
      <w:sz w:val="20"/>
      <w:szCs w:val="20"/>
    </w:rPr>
  </w:style>
  <w:style w:type="character" w:customStyle="1" w:styleId="FootnoteTextChar">
    <w:name w:val="Footnote Text Char"/>
    <w:basedOn w:val="DefaultParagraphFont"/>
    <w:link w:val="FootnoteText"/>
    <w:uiPriority w:val="99"/>
    <w:semiHidden/>
    <w:rsid w:val="002D0928"/>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2D09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95414">
      <w:bodyDiv w:val="1"/>
      <w:marLeft w:val="0"/>
      <w:marRight w:val="0"/>
      <w:marTop w:val="0"/>
      <w:marBottom w:val="0"/>
      <w:divBdr>
        <w:top w:val="none" w:sz="0" w:space="0" w:color="auto"/>
        <w:left w:val="none" w:sz="0" w:space="0" w:color="auto"/>
        <w:bottom w:val="none" w:sz="0" w:space="0" w:color="auto"/>
        <w:right w:val="none" w:sz="0" w:space="0" w:color="auto"/>
      </w:divBdr>
    </w:div>
    <w:div w:id="432018972">
      <w:bodyDiv w:val="1"/>
      <w:marLeft w:val="0"/>
      <w:marRight w:val="0"/>
      <w:marTop w:val="0"/>
      <w:marBottom w:val="0"/>
      <w:divBdr>
        <w:top w:val="none" w:sz="0" w:space="0" w:color="auto"/>
        <w:left w:val="none" w:sz="0" w:space="0" w:color="auto"/>
        <w:bottom w:val="none" w:sz="0" w:space="0" w:color="auto"/>
        <w:right w:val="none" w:sz="0" w:space="0" w:color="auto"/>
      </w:divBdr>
    </w:div>
    <w:div w:id="811868439">
      <w:bodyDiv w:val="1"/>
      <w:marLeft w:val="0"/>
      <w:marRight w:val="0"/>
      <w:marTop w:val="0"/>
      <w:marBottom w:val="0"/>
      <w:divBdr>
        <w:top w:val="none" w:sz="0" w:space="0" w:color="auto"/>
        <w:left w:val="none" w:sz="0" w:space="0" w:color="auto"/>
        <w:bottom w:val="none" w:sz="0" w:space="0" w:color="auto"/>
        <w:right w:val="none" w:sz="0" w:space="0" w:color="auto"/>
      </w:divBdr>
    </w:div>
    <w:div w:id="1129475129">
      <w:bodyDiv w:val="1"/>
      <w:marLeft w:val="0"/>
      <w:marRight w:val="0"/>
      <w:marTop w:val="0"/>
      <w:marBottom w:val="0"/>
      <w:divBdr>
        <w:top w:val="none" w:sz="0" w:space="0" w:color="auto"/>
        <w:left w:val="none" w:sz="0" w:space="0" w:color="auto"/>
        <w:bottom w:val="none" w:sz="0" w:space="0" w:color="auto"/>
        <w:right w:val="none" w:sz="0" w:space="0" w:color="auto"/>
      </w:divBdr>
    </w:div>
    <w:div w:id="1283924948">
      <w:bodyDiv w:val="1"/>
      <w:marLeft w:val="0"/>
      <w:marRight w:val="0"/>
      <w:marTop w:val="0"/>
      <w:marBottom w:val="0"/>
      <w:divBdr>
        <w:top w:val="none" w:sz="0" w:space="0" w:color="auto"/>
        <w:left w:val="none" w:sz="0" w:space="0" w:color="auto"/>
        <w:bottom w:val="none" w:sz="0" w:space="0" w:color="auto"/>
        <w:right w:val="none" w:sz="0" w:space="0" w:color="auto"/>
      </w:divBdr>
    </w:div>
    <w:div w:id="1351953797">
      <w:bodyDiv w:val="1"/>
      <w:marLeft w:val="0"/>
      <w:marRight w:val="0"/>
      <w:marTop w:val="0"/>
      <w:marBottom w:val="0"/>
      <w:divBdr>
        <w:top w:val="none" w:sz="0" w:space="0" w:color="auto"/>
        <w:left w:val="none" w:sz="0" w:space="0" w:color="auto"/>
        <w:bottom w:val="none" w:sz="0" w:space="0" w:color="auto"/>
        <w:right w:val="none" w:sz="0" w:space="0" w:color="auto"/>
      </w:divBdr>
    </w:div>
    <w:div w:id="1764453806">
      <w:bodyDiv w:val="1"/>
      <w:marLeft w:val="0"/>
      <w:marRight w:val="0"/>
      <w:marTop w:val="0"/>
      <w:marBottom w:val="0"/>
      <w:divBdr>
        <w:top w:val="none" w:sz="0" w:space="0" w:color="auto"/>
        <w:left w:val="none" w:sz="0" w:space="0" w:color="auto"/>
        <w:bottom w:val="none" w:sz="0" w:space="0" w:color="auto"/>
        <w:right w:val="none" w:sz="0" w:space="0" w:color="auto"/>
      </w:divBdr>
    </w:div>
    <w:div w:id="18593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lmcs.co.uk/seasonalfluplanningguideno16thaugust2020" TargetMode="External"/><Relationship Id="rId13" Type="http://schemas.openxmlformats.org/officeDocument/2006/relationships/hyperlink" Target="https://digital.nhs.uk/data-and-information/data-collections-and-data-sets/data-collections/quality-and-outcomes-framework-qof/quality-and-outcome-framework-qof-business-rules/enhanced-services-es-vaccination-and-immunisation-vi-and-core-contract-components-2020-2021" TargetMode="External"/><Relationship Id="rId18" Type="http://schemas.openxmlformats.org/officeDocument/2006/relationships/diagramData" Target="diagrams/data1.xml"/><Relationship Id="rId26" Type="http://schemas.openxmlformats.org/officeDocument/2006/relationships/hyperlink" Target="https://digital.nhs.uk/data-and-information/data-collections-and-data-sets/data-collections/quality-and-outcomes-framework-qof/quality-and-outcome-framework-qof-business-rules/enhanced-services-es-vaccination-and-immunisation-vi-and-core-contract-components-2020-2021" TargetMode="Externa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england.nhs.uk/south/wp-content/uploads/sites/6/2020/10/2020.10.09-DHSC-flu-stock-guidance-for-GPs-FINAL.pdf" TargetMode="External"/><Relationship Id="rId25" Type="http://schemas.openxmlformats.org/officeDocument/2006/relationships/hyperlink" Target="https://digital.nhs.uk/data-and-information/data-collections-and-data-sets/data-collections/quality-and-outcomes-framework-qof/quality-and-outcome-framework-qof-business-rules/enhanced-services-es-vaccination-and-immunisation-vi-and-core-contract-components-2020-2021" TargetMode="External"/><Relationship Id="rId2" Type="http://schemas.openxmlformats.org/officeDocument/2006/relationships/numbering" Target="numbering.xml"/><Relationship Id="rId16" Type="http://schemas.openxmlformats.org/officeDocument/2006/relationships/hyperlink" Target="https://www.england.nhs.uk/south/wp-content/uploads/sites/6/2020/10/2020.10.09-DHSC-flu-stock-guidance-for-GPs-FINAL.pdf" TargetMode="External"/><Relationship Id="rId20" Type="http://schemas.openxmlformats.org/officeDocument/2006/relationships/diagramQuickStyle" Target="diagrams/quickStyle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he.screening-immsssat@nhs.net" TargetMode="External"/><Relationship Id="rId23" Type="http://schemas.openxmlformats.org/officeDocument/2006/relationships/hyperlink" Target="https://www.england.nhs.uk/south/wp-content/uploads/sites/6/2020/10/Flu-why-am-I-asked-to-wait.pdf" TargetMode="External"/><Relationship Id="rId28" Type="http://schemas.openxmlformats.org/officeDocument/2006/relationships/footer" Target="footer1.xml"/><Relationship Id="rId10" Type="http://schemas.openxmlformats.org/officeDocument/2006/relationships/hyperlink" Target="https://www.sslmcs.co.uk/seasonalfluplanningguideno16thaugust2020" TargetMode="External"/><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slmcs.co.uk/sslmcsseasonalfluplanningguide2" TargetMode="External"/><Relationship Id="rId14" Type="http://schemas.openxmlformats.org/officeDocument/2006/relationships/hyperlink" Target="https://assets.publishing.service.gov.uk/government/uploads/system/uploads/attachment_data/file/907149/Letter_annualflu_2020_to_2021_update.pdf" TargetMode="External"/><Relationship Id="rId22" Type="http://schemas.microsoft.com/office/2007/relationships/diagramDrawing" Target="diagrams/drawing1.xml"/><Relationship Id="rId27" Type="http://schemas.openxmlformats.org/officeDocument/2006/relationships/image" Target="media/image3.png"/><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ngland.nhs.uk/south/wp-content/uploads/sites/6/2020/10/2020.10.09-DHSC-flu-stock-guidance-for-GPs-FINAL.pdf" TargetMode="External"/><Relationship Id="rId1" Type="http://schemas.openxmlformats.org/officeDocument/2006/relationships/hyperlink" Target="https://digital.nhs.uk/data-and-information/data-collections-and-data-sets/data-collections/quality-and-outcomes-framework-qof/quality-and-outcome-framework-qof-business-rules/enhanced-services-es-vaccination-and-immunisation-vi-and-core-contract-components-2020-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30822E-F4B9-45F9-A09B-D622CB30618A}" type="doc">
      <dgm:prSet loTypeId="urn:microsoft.com/office/officeart/2005/8/layout/process5" loCatId="process" qsTypeId="urn:microsoft.com/office/officeart/2005/8/quickstyle/simple1" qsCatId="simple" csTypeId="urn:microsoft.com/office/officeart/2005/8/colors/colorful5" csCatId="colorful" phldr="1"/>
      <dgm:spPr/>
      <dgm:t>
        <a:bodyPr/>
        <a:lstStyle/>
        <a:p>
          <a:endParaRPr lang="en-GB"/>
        </a:p>
      </dgm:t>
    </dgm:pt>
    <dgm:pt modelId="{863CE84B-3797-4BC4-BB47-535CAB0D17E6}">
      <dgm:prSet phldrT="[Text]"/>
      <dgm:spPr/>
      <dgm:t>
        <a:bodyPr/>
        <a:lstStyle/>
        <a:p>
          <a:r>
            <a:rPr lang="en-GB"/>
            <a:t>Record administration of all vaccines in the patients medical record</a:t>
          </a:r>
        </a:p>
      </dgm:t>
    </dgm:pt>
    <dgm:pt modelId="{8371F562-8527-4122-9759-F21BFEED173E}" type="parTrans" cxnId="{B88127A8-B0DC-4BF3-8C90-9697E11E3188}">
      <dgm:prSet/>
      <dgm:spPr/>
      <dgm:t>
        <a:bodyPr/>
        <a:lstStyle/>
        <a:p>
          <a:endParaRPr lang="en-GB"/>
        </a:p>
      </dgm:t>
    </dgm:pt>
    <dgm:pt modelId="{9ED053A5-B013-4908-AF45-38E99C8B5E27}" type="sibTrans" cxnId="{B88127A8-B0DC-4BF3-8C90-9697E11E3188}">
      <dgm:prSet/>
      <dgm:spPr/>
      <dgm:t>
        <a:bodyPr/>
        <a:lstStyle/>
        <a:p>
          <a:endParaRPr lang="en-GB"/>
        </a:p>
      </dgm:t>
    </dgm:pt>
    <dgm:pt modelId="{B8B8BA5B-4D60-471D-B85F-F6B40C275E11}">
      <dgm:prSet phldrT="[Text]"/>
      <dgm:spPr/>
      <dgm:t>
        <a:bodyPr/>
        <a:lstStyle/>
        <a:p>
          <a:r>
            <a:rPr lang="en-GB"/>
            <a:t>The practice will receive £10.06 per vaccination via CQRS in the normal way.  There can be no PPA claim attributable to centrally obtained vaccine stocks.</a:t>
          </a:r>
        </a:p>
      </dgm:t>
    </dgm:pt>
    <dgm:pt modelId="{988E3BC0-A45B-4578-8DCB-14B2865CDCD8}" type="parTrans" cxnId="{C4351B0F-2E2C-4075-9A6D-A2C693770F62}">
      <dgm:prSet/>
      <dgm:spPr/>
      <dgm:t>
        <a:bodyPr/>
        <a:lstStyle/>
        <a:p>
          <a:endParaRPr lang="en-GB"/>
        </a:p>
      </dgm:t>
    </dgm:pt>
    <dgm:pt modelId="{ED292984-8F4A-4D5E-8538-2F6ABF3EFB70}" type="sibTrans" cxnId="{C4351B0F-2E2C-4075-9A6D-A2C693770F62}">
      <dgm:prSet/>
      <dgm:spPr/>
      <dgm:t>
        <a:bodyPr/>
        <a:lstStyle/>
        <a:p>
          <a:endParaRPr lang="en-GB"/>
        </a:p>
      </dgm:t>
    </dgm:pt>
    <dgm:pt modelId="{02E1021F-F31E-44B9-BEE9-C948DA69D25C}">
      <dgm:prSet phldrT="[Text]"/>
      <dgm:spPr/>
      <dgm:t>
        <a:bodyPr/>
        <a:lstStyle/>
        <a:p>
          <a:r>
            <a:rPr lang="en-GB"/>
            <a:t>Ensure that appropriate and accurate recording of vaccine supply, both stored and administered, is maintained by all practice health professionals.</a:t>
          </a:r>
        </a:p>
      </dgm:t>
    </dgm:pt>
    <dgm:pt modelId="{CB9CFC01-26E2-4EE2-8A57-199EC4AD11D5}" type="parTrans" cxnId="{6082D9CE-8915-4491-ABDA-E23BEBB6E910}">
      <dgm:prSet/>
      <dgm:spPr/>
      <dgm:t>
        <a:bodyPr/>
        <a:lstStyle/>
        <a:p>
          <a:endParaRPr lang="en-GB"/>
        </a:p>
      </dgm:t>
    </dgm:pt>
    <dgm:pt modelId="{A2370F17-5C5B-4123-A8EA-5FD7CFBF128E}" type="sibTrans" cxnId="{6082D9CE-8915-4491-ABDA-E23BEBB6E910}">
      <dgm:prSet/>
      <dgm:spPr/>
      <dgm:t>
        <a:bodyPr/>
        <a:lstStyle/>
        <a:p>
          <a:endParaRPr lang="en-GB"/>
        </a:p>
      </dgm:t>
    </dgm:pt>
    <dgm:pt modelId="{495AE921-4DF6-4D7B-8AE0-0DCFB5779CDF}">
      <dgm:prSet/>
      <dgm:spPr/>
      <dgm:t>
        <a:bodyPr/>
        <a:lstStyle/>
        <a:p>
          <a:r>
            <a:rPr lang="en-GB"/>
            <a:t>Practices need to complete and return an audit to NHS Business Services Authority by the end of April 20201.  </a:t>
          </a:r>
        </a:p>
        <a:p>
          <a:endParaRPr lang="en-GB"/>
        </a:p>
        <a:p>
          <a:r>
            <a:rPr lang="en-GB" b="1"/>
            <a:t>This audit will include questions such as:</a:t>
          </a:r>
        </a:p>
      </dgm:t>
    </dgm:pt>
    <dgm:pt modelId="{F119F3FB-1D34-4730-A14A-F78A7638A6C2}" type="parTrans" cxnId="{FB81D791-EC24-4996-B556-D9A48FD83287}">
      <dgm:prSet/>
      <dgm:spPr/>
      <dgm:t>
        <a:bodyPr/>
        <a:lstStyle/>
        <a:p>
          <a:endParaRPr lang="en-GB"/>
        </a:p>
      </dgm:t>
    </dgm:pt>
    <dgm:pt modelId="{167E0596-FAB2-4177-9681-F9D076DC8084}" type="sibTrans" cxnId="{FB81D791-EC24-4996-B556-D9A48FD83287}">
      <dgm:prSet/>
      <dgm:spPr/>
      <dgm:t>
        <a:bodyPr/>
        <a:lstStyle/>
        <a:p>
          <a:endParaRPr lang="en-GB"/>
        </a:p>
      </dgm:t>
    </dgm:pt>
    <dgm:pt modelId="{3F963980-8518-4011-820B-79F64079511C}">
      <dgm:prSet/>
      <dgm:spPr/>
      <dgm:t>
        <a:bodyPr/>
        <a:lstStyle/>
        <a:p>
          <a:r>
            <a:rPr lang="en-GB" b="1"/>
            <a:t>Q: </a:t>
          </a:r>
          <a:r>
            <a:rPr lang="en-GB"/>
            <a:t>Information on how many locally procured vaccines, of each type, the practice has purchased, administered, redistrubted or returned to manufactures during the season.</a:t>
          </a:r>
        </a:p>
      </dgm:t>
    </dgm:pt>
    <dgm:pt modelId="{7C2678EC-D979-42B5-9932-DEB46ABF8FB7}" type="parTrans" cxnId="{67B06276-6EEC-480F-8AF5-EFD15946976E}">
      <dgm:prSet/>
      <dgm:spPr/>
      <dgm:t>
        <a:bodyPr/>
        <a:lstStyle/>
        <a:p>
          <a:endParaRPr lang="en-GB"/>
        </a:p>
      </dgm:t>
    </dgm:pt>
    <dgm:pt modelId="{9EB13FA8-08D1-42E6-9C2F-23FD871FC298}" type="sibTrans" cxnId="{67B06276-6EEC-480F-8AF5-EFD15946976E}">
      <dgm:prSet/>
      <dgm:spPr/>
      <dgm:t>
        <a:bodyPr/>
        <a:lstStyle/>
        <a:p>
          <a:endParaRPr lang="en-GB"/>
        </a:p>
      </dgm:t>
    </dgm:pt>
    <dgm:pt modelId="{4EA43C6B-C193-4CA7-A9EF-DE3D1C9B7232}">
      <dgm:prSet/>
      <dgm:spPr/>
      <dgm:t>
        <a:bodyPr/>
        <a:lstStyle/>
        <a:p>
          <a:r>
            <a:rPr lang="en-GB" b="1"/>
            <a:t>Q: </a:t>
          </a:r>
          <a:r>
            <a:rPr lang="en-GB"/>
            <a:t>Information on how many DHSC supplied vaccines, of each type, the practice has sourced from each manufacturer during the season and, of these, how many have been adminitered, redistributed or destroyed.</a:t>
          </a:r>
        </a:p>
      </dgm:t>
    </dgm:pt>
    <dgm:pt modelId="{8CBE7839-D191-40CD-BAD4-E4212A584523}" type="parTrans" cxnId="{87812C8D-4C90-4E26-9DF8-146B5BF5AB35}">
      <dgm:prSet/>
      <dgm:spPr/>
      <dgm:t>
        <a:bodyPr/>
        <a:lstStyle/>
        <a:p>
          <a:endParaRPr lang="en-GB"/>
        </a:p>
      </dgm:t>
    </dgm:pt>
    <dgm:pt modelId="{37A1376F-508F-4D30-9AB1-2D37B8198688}" type="sibTrans" cxnId="{87812C8D-4C90-4E26-9DF8-146B5BF5AB35}">
      <dgm:prSet/>
      <dgm:spPr/>
      <dgm:t>
        <a:bodyPr/>
        <a:lstStyle/>
        <a:p>
          <a:endParaRPr lang="en-GB"/>
        </a:p>
      </dgm:t>
    </dgm:pt>
    <dgm:pt modelId="{994608AD-0151-480C-8BF8-027ED63343C3}">
      <dgm:prSet/>
      <dgm:spPr/>
      <dgm:t>
        <a:bodyPr/>
        <a:lstStyle/>
        <a:p>
          <a:r>
            <a:rPr lang="en-GB"/>
            <a:t>A declaration signed by a GP partner of the practice confirming that, to their knowledge, the infomration provided is accurate and the practice has claimed appropriately for both locally procured and centreally supplied vaccines</a:t>
          </a:r>
        </a:p>
      </dgm:t>
    </dgm:pt>
    <dgm:pt modelId="{6B5D93D4-95A3-48D9-92E5-C29433CA435D}" type="parTrans" cxnId="{16069FDC-3EBD-4A9B-BF53-E149B9C695ED}">
      <dgm:prSet/>
      <dgm:spPr/>
      <dgm:t>
        <a:bodyPr/>
        <a:lstStyle/>
        <a:p>
          <a:endParaRPr lang="en-GB"/>
        </a:p>
      </dgm:t>
    </dgm:pt>
    <dgm:pt modelId="{EB5828CE-C876-402C-A398-EAD96E0558E4}" type="sibTrans" cxnId="{16069FDC-3EBD-4A9B-BF53-E149B9C695ED}">
      <dgm:prSet/>
      <dgm:spPr/>
      <dgm:t>
        <a:bodyPr/>
        <a:lstStyle/>
        <a:p>
          <a:endParaRPr lang="en-GB"/>
        </a:p>
      </dgm:t>
    </dgm:pt>
    <dgm:pt modelId="{66798BE1-1D36-491A-B10B-09434BACDFBC}">
      <dgm:prSet/>
      <dgm:spPr/>
      <dgm:t>
        <a:bodyPr/>
        <a:lstStyle/>
        <a:p>
          <a:r>
            <a:rPr lang="en-GB"/>
            <a:t>Deadlines of returns for both the audit and declaration will be the end of April 2021</a:t>
          </a:r>
        </a:p>
      </dgm:t>
    </dgm:pt>
    <dgm:pt modelId="{6B88A33C-C88B-4742-AC98-8E9610104695}" type="parTrans" cxnId="{F7CEAA7B-295D-498A-94F9-3CB6F617D271}">
      <dgm:prSet/>
      <dgm:spPr/>
      <dgm:t>
        <a:bodyPr/>
        <a:lstStyle/>
        <a:p>
          <a:endParaRPr lang="en-GB"/>
        </a:p>
      </dgm:t>
    </dgm:pt>
    <dgm:pt modelId="{CBF6EE11-A668-41BE-BCC0-C95315B74F2E}" type="sibTrans" cxnId="{F7CEAA7B-295D-498A-94F9-3CB6F617D271}">
      <dgm:prSet/>
      <dgm:spPr/>
      <dgm:t>
        <a:bodyPr/>
        <a:lstStyle/>
        <a:p>
          <a:endParaRPr lang="en-GB"/>
        </a:p>
      </dgm:t>
    </dgm:pt>
    <dgm:pt modelId="{76A34567-EF02-4116-AFEA-2E1ACE54E99B}">
      <dgm:prSet/>
      <dgm:spPr/>
      <dgm:t>
        <a:bodyPr/>
        <a:lstStyle/>
        <a:p>
          <a:pPr>
            <a:buFont typeface="Wingdings" panose="05000000000000000000" pitchFamily="2" charset="2"/>
            <a:buChar char=""/>
          </a:pPr>
          <a:r>
            <a:rPr lang="en-GB"/>
            <a:t>Should stock become damaged, for whatever reason , please record the quantity and batch numbers so that each vaccine can be accounted for.                                                                                                                                                                                                                                                                                                                                                                                                                                                                                                                                                                                                                                                                                                                                                                                                                                                                                                                                                                                                                                                                                                                                                                                                                                                                                                                                                                                                                                                                                                                                                                                                                                                                                                                                                                                                                                                                                                                                                                                                                                                                                                                                                                                                                                                                                                                                                                                                                                                                         </a:t>
          </a:r>
        </a:p>
      </dgm:t>
    </dgm:pt>
    <dgm:pt modelId="{EBE0F43C-1BA4-4DE9-AD7C-C17CA6B83D82}" type="parTrans" cxnId="{D0DAB8E8-8396-455C-9176-3418D00E2E26}">
      <dgm:prSet/>
      <dgm:spPr/>
      <dgm:t>
        <a:bodyPr/>
        <a:lstStyle/>
        <a:p>
          <a:endParaRPr lang="en-GB"/>
        </a:p>
      </dgm:t>
    </dgm:pt>
    <dgm:pt modelId="{0A2DD953-79ED-41DF-A50B-FD35FAFF0429}" type="sibTrans" cxnId="{D0DAB8E8-8396-455C-9176-3418D00E2E26}">
      <dgm:prSet/>
      <dgm:spPr/>
      <dgm:t>
        <a:bodyPr/>
        <a:lstStyle/>
        <a:p>
          <a:endParaRPr lang="en-GB"/>
        </a:p>
      </dgm:t>
    </dgm:pt>
    <dgm:pt modelId="{26CBDEDE-9862-4C42-B71C-9256CE79DD4D}" type="pres">
      <dgm:prSet presAssocID="{2C30822E-F4B9-45F9-A09B-D622CB30618A}" presName="diagram" presStyleCnt="0">
        <dgm:presLayoutVars>
          <dgm:dir/>
          <dgm:resizeHandles val="exact"/>
        </dgm:presLayoutVars>
      </dgm:prSet>
      <dgm:spPr/>
    </dgm:pt>
    <dgm:pt modelId="{4D8BE1AD-0143-4821-BB3C-A305FF7F6C89}" type="pres">
      <dgm:prSet presAssocID="{863CE84B-3797-4BC4-BB47-535CAB0D17E6}" presName="node" presStyleLbl="node1" presStyleIdx="0" presStyleCnt="9">
        <dgm:presLayoutVars>
          <dgm:bulletEnabled val="1"/>
        </dgm:presLayoutVars>
      </dgm:prSet>
      <dgm:spPr/>
    </dgm:pt>
    <dgm:pt modelId="{D3A26FFB-8A63-478F-BD6F-566E016C7A6F}" type="pres">
      <dgm:prSet presAssocID="{9ED053A5-B013-4908-AF45-38E99C8B5E27}" presName="sibTrans" presStyleLbl="sibTrans2D1" presStyleIdx="0" presStyleCnt="8"/>
      <dgm:spPr/>
    </dgm:pt>
    <dgm:pt modelId="{D1926F48-20D4-4621-9EAA-602010D7187F}" type="pres">
      <dgm:prSet presAssocID="{9ED053A5-B013-4908-AF45-38E99C8B5E27}" presName="connectorText" presStyleLbl="sibTrans2D1" presStyleIdx="0" presStyleCnt="8"/>
      <dgm:spPr/>
    </dgm:pt>
    <dgm:pt modelId="{F7B72830-F833-496F-A863-B094428DAAEC}" type="pres">
      <dgm:prSet presAssocID="{B8B8BA5B-4D60-471D-B85F-F6B40C275E11}" presName="node" presStyleLbl="node1" presStyleIdx="1" presStyleCnt="9">
        <dgm:presLayoutVars>
          <dgm:bulletEnabled val="1"/>
        </dgm:presLayoutVars>
      </dgm:prSet>
      <dgm:spPr/>
    </dgm:pt>
    <dgm:pt modelId="{987D857E-2129-4813-8A9D-0BA2CB7FBDA8}" type="pres">
      <dgm:prSet presAssocID="{ED292984-8F4A-4D5E-8538-2F6ABF3EFB70}" presName="sibTrans" presStyleLbl="sibTrans2D1" presStyleIdx="1" presStyleCnt="8"/>
      <dgm:spPr/>
    </dgm:pt>
    <dgm:pt modelId="{981F7E5F-147E-4241-B6C3-3330A664E46F}" type="pres">
      <dgm:prSet presAssocID="{ED292984-8F4A-4D5E-8538-2F6ABF3EFB70}" presName="connectorText" presStyleLbl="sibTrans2D1" presStyleIdx="1" presStyleCnt="8"/>
      <dgm:spPr/>
    </dgm:pt>
    <dgm:pt modelId="{7D7B11EA-67EB-4D4B-9355-26B1B3F2847C}" type="pres">
      <dgm:prSet presAssocID="{02E1021F-F31E-44B9-BEE9-C948DA69D25C}" presName="node" presStyleLbl="node1" presStyleIdx="2" presStyleCnt="9">
        <dgm:presLayoutVars>
          <dgm:bulletEnabled val="1"/>
        </dgm:presLayoutVars>
      </dgm:prSet>
      <dgm:spPr/>
    </dgm:pt>
    <dgm:pt modelId="{28FADF4C-D790-460D-BCF2-DC5B67929202}" type="pres">
      <dgm:prSet presAssocID="{A2370F17-5C5B-4123-A8EA-5FD7CFBF128E}" presName="sibTrans" presStyleLbl="sibTrans2D1" presStyleIdx="2" presStyleCnt="8"/>
      <dgm:spPr/>
    </dgm:pt>
    <dgm:pt modelId="{0F622D9F-C017-42D6-AF92-50FE35B07552}" type="pres">
      <dgm:prSet presAssocID="{A2370F17-5C5B-4123-A8EA-5FD7CFBF128E}" presName="connectorText" presStyleLbl="sibTrans2D1" presStyleIdx="2" presStyleCnt="8"/>
      <dgm:spPr/>
    </dgm:pt>
    <dgm:pt modelId="{E21D4D18-8F1F-4754-8C3A-C613FB1E8313}" type="pres">
      <dgm:prSet presAssocID="{76A34567-EF02-4116-AFEA-2E1ACE54E99B}" presName="node" presStyleLbl="node1" presStyleIdx="3" presStyleCnt="9">
        <dgm:presLayoutVars>
          <dgm:bulletEnabled val="1"/>
        </dgm:presLayoutVars>
      </dgm:prSet>
      <dgm:spPr/>
    </dgm:pt>
    <dgm:pt modelId="{B47312FB-8BD7-48CC-A2ED-CC9FAE4E8CCE}" type="pres">
      <dgm:prSet presAssocID="{0A2DD953-79ED-41DF-A50B-FD35FAFF0429}" presName="sibTrans" presStyleLbl="sibTrans2D1" presStyleIdx="3" presStyleCnt="8"/>
      <dgm:spPr/>
    </dgm:pt>
    <dgm:pt modelId="{D9BDA062-CB4F-47D0-9CCF-8D9D00C1CEAA}" type="pres">
      <dgm:prSet presAssocID="{0A2DD953-79ED-41DF-A50B-FD35FAFF0429}" presName="connectorText" presStyleLbl="sibTrans2D1" presStyleIdx="3" presStyleCnt="8"/>
      <dgm:spPr/>
    </dgm:pt>
    <dgm:pt modelId="{E9289D4B-C9F8-4908-89A1-922358A7B01D}" type="pres">
      <dgm:prSet presAssocID="{495AE921-4DF6-4D7B-8AE0-0DCFB5779CDF}" presName="node" presStyleLbl="node1" presStyleIdx="4" presStyleCnt="9">
        <dgm:presLayoutVars>
          <dgm:bulletEnabled val="1"/>
        </dgm:presLayoutVars>
      </dgm:prSet>
      <dgm:spPr/>
    </dgm:pt>
    <dgm:pt modelId="{62F9E6DE-D640-49DB-B3C8-7C23B7F681D9}" type="pres">
      <dgm:prSet presAssocID="{167E0596-FAB2-4177-9681-F9D076DC8084}" presName="sibTrans" presStyleLbl="sibTrans2D1" presStyleIdx="4" presStyleCnt="8"/>
      <dgm:spPr/>
    </dgm:pt>
    <dgm:pt modelId="{53AB2C2B-C2CE-4309-9D18-0C5750F56840}" type="pres">
      <dgm:prSet presAssocID="{167E0596-FAB2-4177-9681-F9D076DC8084}" presName="connectorText" presStyleLbl="sibTrans2D1" presStyleIdx="4" presStyleCnt="8"/>
      <dgm:spPr/>
    </dgm:pt>
    <dgm:pt modelId="{09A6FDB6-F99E-4DB5-934C-CC5837CF713D}" type="pres">
      <dgm:prSet presAssocID="{3F963980-8518-4011-820B-79F64079511C}" presName="node" presStyleLbl="node1" presStyleIdx="5" presStyleCnt="9">
        <dgm:presLayoutVars>
          <dgm:bulletEnabled val="1"/>
        </dgm:presLayoutVars>
      </dgm:prSet>
      <dgm:spPr/>
    </dgm:pt>
    <dgm:pt modelId="{DB7E62DB-0903-4D1F-A7AB-3B74E4A020F4}" type="pres">
      <dgm:prSet presAssocID="{9EB13FA8-08D1-42E6-9C2F-23FD871FC298}" presName="sibTrans" presStyleLbl="sibTrans2D1" presStyleIdx="5" presStyleCnt="8"/>
      <dgm:spPr/>
    </dgm:pt>
    <dgm:pt modelId="{FD76DB92-87EA-4546-8430-5E839E69DB42}" type="pres">
      <dgm:prSet presAssocID="{9EB13FA8-08D1-42E6-9C2F-23FD871FC298}" presName="connectorText" presStyleLbl="sibTrans2D1" presStyleIdx="5" presStyleCnt="8"/>
      <dgm:spPr/>
    </dgm:pt>
    <dgm:pt modelId="{2C8923D9-C849-4C03-920D-C4EBBF62E5A9}" type="pres">
      <dgm:prSet presAssocID="{4EA43C6B-C193-4CA7-A9EF-DE3D1C9B7232}" presName="node" presStyleLbl="node1" presStyleIdx="6" presStyleCnt="9">
        <dgm:presLayoutVars>
          <dgm:bulletEnabled val="1"/>
        </dgm:presLayoutVars>
      </dgm:prSet>
      <dgm:spPr/>
    </dgm:pt>
    <dgm:pt modelId="{85F642CA-9A3B-4AA0-9FEA-93ACF2DA8209}" type="pres">
      <dgm:prSet presAssocID="{37A1376F-508F-4D30-9AB1-2D37B8198688}" presName="sibTrans" presStyleLbl="sibTrans2D1" presStyleIdx="6" presStyleCnt="8"/>
      <dgm:spPr/>
    </dgm:pt>
    <dgm:pt modelId="{C3CEB435-8326-4F7F-AD8F-58902AD22534}" type="pres">
      <dgm:prSet presAssocID="{37A1376F-508F-4D30-9AB1-2D37B8198688}" presName="connectorText" presStyleLbl="sibTrans2D1" presStyleIdx="6" presStyleCnt="8"/>
      <dgm:spPr/>
    </dgm:pt>
    <dgm:pt modelId="{D8A559A7-CACA-4558-8742-3F07715867D3}" type="pres">
      <dgm:prSet presAssocID="{994608AD-0151-480C-8BF8-027ED63343C3}" presName="node" presStyleLbl="node1" presStyleIdx="7" presStyleCnt="9">
        <dgm:presLayoutVars>
          <dgm:bulletEnabled val="1"/>
        </dgm:presLayoutVars>
      </dgm:prSet>
      <dgm:spPr/>
    </dgm:pt>
    <dgm:pt modelId="{D04246DC-263B-4E60-8AA4-6B113E468B99}" type="pres">
      <dgm:prSet presAssocID="{EB5828CE-C876-402C-A398-EAD96E0558E4}" presName="sibTrans" presStyleLbl="sibTrans2D1" presStyleIdx="7" presStyleCnt="8"/>
      <dgm:spPr/>
    </dgm:pt>
    <dgm:pt modelId="{D81D0E32-4867-4CD7-A32E-664CA5BF75B6}" type="pres">
      <dgm:prSet presAssocID="{EB5828CE-C876-402C-A398-EAD96E0558E4}" presName="connectorText" presStyleLbl="sibTrans2D1" presStyleIdx="7" presStyleCnt="8"/>
      <dgm:spPr/>
    </dgm:pt>
    <dgm:pt modelId="{3F2707AE-1821-4F82-A705-CF5430FEEB71}" type="pres">
      <dgm:prSet presAssocID="{66798BE1-1D36-491A-B10B-09434BACDFBC}" presName="node" presStyleLbl="node1" presStyleIdx="8" presStyleCnt="9">
        <dgm:presLayoutVars>
          <dgm:bulletEnabled val="1"/>
        </dgm:presLayoutVars>
      </dgm:prSet>
      <dgm:spPr/>
    </dgm:pt>
  </dgm:ptLst>
  <dgm:cxnLst>
    <dgm:cxn modelId="{A8A0D901-751C-47E4-8C5E-BFCBE4B188C1}" type="presOf" srcId="{167E0596-FAB2-4177-9681-F9D076DC8084}" destId="{53AB2C2B-C2CE-4309-9D18-0C5750F56840}" srcOrd="1" destOrd="0" presId="urn:microsoft.com/office/officeart/2005/8/layout/process5"/>
    <dgm:cxn modelId="{A02E4F05-ADFE-4116-9FE2-69A010855C86}" type="presOf" srcId="{994608AD-0151-480C-8BF8-027ED63343C3}" destId="{D8A559A7-CACA-4558-8742-3F07715867D3}" srcOrd="0" destOrd="0" presId="urn:microsoft.com/office/officeart/2005/8/layout/process5"/>
    <dgm:cxn modelId="{1B173307-087A-41AE-873F-0F0E35D13D44}" type="presOf" srcId="{0A2DD953-79ED-41DF-A50B-FD35FAFF0429}" destId="{B47312FB-8BD7-48CC-A2ED-CC9FAE4E8CCE}" srcOrd="0" destOrd="0" presId="urn:microsoft.com/office/officeart/2005/8/layout/process5"/>
    <dgm:cxn modelId="{C4351B0F-2E2C-4075-9A6D-A2C693770F62}" srcId="{2C30822E-F4B9-45F9-A09B-D622CB30618A}" destId="{B8B8BA5B-4D60-471D-B85F-F6B40C275E11}" srcOrd="1" destOrd="0" parTransId="{988E3BC0-A45B-4578-8DCB-14B2865CDCD8}" sibTransId="{ED292984-8F4A-4D5E-8538-2F6ABF3EFB70}"/>
    <dgm:cxn modelId="{41CA6B20-7444-42FE-B075-ACEDEC5E43BC}" type="presOf" srcId="{B8B8BA5B-4D60-471D-B85F-F6B40C275E11}" destId="{F7B72830-F833-496F-A863-B094428DAAEC}" srcOrd="0" destOrd="0" presId="urn:microsoft.com/office/officeart/2005/8/layout/process5"/>
    <dgm:cxn modelId="{92935D21-4501-418F-AE08-A0F7A571FB71}" type="presOf" srcId="{A2370F17-5C5B-4123-A8EA-5FD7CFBF128E}" destId="{28FADF4C-D790-460D-BCF2-DC5B67929202}" srcOrd="0" destOrd="0" presId="urn:microsoft.com/office/officeart/2005/8/layout/process5"/>
    <dgm:cxn modelId="{60FA2B22-7DA1-48C6-9635-E8CB6C3F3C1D}" type="presOf" srcId="{9ED053A5-B013-4908-AF45-38E99C8B5E27}" destId="{D3A26FFB-8A63-478F-BD6F-566E016C7A6F}" srcOrd="0" destOrd="0" presId="urn:microsoft.com/office/officeart/2005/8/layout/process5"/>
    <dgm:cxn modelId="{751D4C27-DDA1-4142-8E56-B206FD776C10}" type="presOf" srcId="{ED292984-8F4A-4D5E-8538-2F6ABF3EFB70}" destId="{987D857E-2129-4813-8A9D-0BA2CB7FBDA8}" srcOrd="0" destOrd="0" presId="urn:microsoft.com/office/officeart/2005/8/layout/process5"/>
    <dgm:cxn modelId="{573D0730-40E8-4906-8790-1585B61B0C04}" type="presOf" srcId="{0A2DD953-79ED-41DF-A50B-FD35FAFF0429}" destId="{D9BDA062-CB4F-47D0-9CCF-8D9D00C1CEAA}" srcOrd="1" destOrd="0" presId="urn:microsoft.com/office/officeart/2005/8/layout/process5"/>
    <dgm:cxn modelId="{7CAD1932-445C-4FD7-A12F-FFC3BCA6AAE5}" type="presOf" srcId="{ED292984-8F4A-4D5E-8538-2F6ABF3EFB70}" destId="{981F7E5F-147E-4241-B6C3-3330A664E46F}" srcOrd="1" destOrd="0" presId="urn:microsoft.com/office/officeart/2005/8/layout/process5"/>
    <dgm:cxn modelId="{70669437-AE5B-4069-ADC5-0BF5418C062C}" type="presOf" srcId="{9EB13FA8-08D1-42E6-9C2F-23FD871FC298}" destId="{FD76DB92-87EA-4546-8430-5E839E69DB42}" srcOrd="1" destOrd="0" presId="urn:microsoft.com/office/officeart/2005/8/layout/process5"/>
    <dgm:cxn modelId="{31FCBF37-190C-42AA-A817-85FC5270F64D}" type="presOf" srcId="{66798BE1-1D36-491A-B10B-09434BACDFBC}" destId="{3F2707AE-1821-4F82-A705-CF5430FEEB71}" srcOrd="0" destOrd="0" presId="urn:microsoft.com/office/officeart/2005/8/layout/process5"/>
    <dgm:cxn modelId="{2C8AD138-7D5F-4B3D-8BA9-4C213650DB1C}" type="presOf" srcId="{4EA43C6B-C193-4CA7-A9EF-DE3D1C9B7232}" destId="{2C8923D9-C849-4C03-920D-C4EBBF62E5A9}" srcOrd="0" destOrd="0" presId="urn:microsoft.com/office/officeart/2005/8/layout/process5"/>
    <dgm:cxn modelId="{B5EE853B-315D-412E-BFF2-DB512C7BA781}" type="presOf" srcId="{495AE921-4DF6-4D7B-8AE0-0DCFB5779CDF}" destId="{E9289D4B-C9F8-4908-89A1-922358A7B01D}" srcOrd="0" destOrd="0" presId="urn:microsoft.com/office/officeart/2005/8/layout/process5"/>
    <dgm:cxn modelId="{12026E3E-3E11-4D1F-A1B3-E5772F66BDAB}" type="presOf" srcId="{76A34567-EF02-4116-AFEA-2E1ACE54E99B}" destId="{E21D4D18-8F1F-4754-8C3A-C613FB1E8313}" srcOrd="0" destOrd="0" presId="urn:microsoft.com/office/officeart/2005/8/layout/process5"/>
    <dgm:cxn modelId="{4A537766-537D-4C68-96DA-B97B93EBE6C8}" type="presOf" srcId="{2C30822E-F4B9-45F9-A09B-D622CB30618A}" destId="{26CBDEDE-9862-4C42-B71C-9256CE79DD4D}" srcOrd="0" destOrd="0" presId="urn:microsoft.com/office/officeart/2005/8/layout/process5"/>
    <dgm:cxn modelId="{C2188269-9190-43D0-9A39-D95B4444C218}" type="presOf" srcId="{9ED053A5-B013-4908-AF45-38E99C8B5E27}" destId="{D1926F48-20D4-4621-9EAA-602010D7187F}" srcOrd="1" destOrd="0" presId="urn:microsoft.com/office/officeart/2005/8/layout/process5"/>
    <dgm:cxn modelId="{EDDDE26B-843B-4660-92A1-3DF1729BB2C2}" type="presOf" srcId="{A2370F17-5C5B-4123-A8EA-5FD7CFBF128E}" destId="{0F622D9F-C017-42D6-AF92-50FE35B07552}" srcOrd="1" destOrd="0" presId="urn:microsoft.com/office/officeart/2005/8/layout/process5"/>
    <dgm:cxn modelId="{70683750-0359-4C25-A04A-5ED3E535BCE5}" type="presOf" srcId="{EB5828CE-C876-402C-A398-EAD96E0558E4}" destId="{D81D0E32-4867-4CD7-A32E-664CA5BF75B6}" srcOrd="1" destOrd="0" presId="urn:microsoft.com/office/officeart/2005/8/layout/process5"/>
    <dgm:cxn modelId="{7975DB52-E65F-4725-8C1E-8985448CEB25}" type="presOf" srcId="{3F963980-8518-4011-820B-79F64079511C}" destId="{09A6FDB6-F99E-4DB5-934C-CC5837CF713D}" srcOrd="0" destOrd="0" presId="urn:microsoft.com/office/officeart/2005/8/layout/process5"/>
    <dgm:cxn modelId="{67B06276-6EEC-480F-8AF5-EFD15946976E}" srcId="{2C30822E-F4B9-45F9-A09B-D622CB30618A}" destId="{3F963980-8518-4011-820B-79F64079511C}" srcOrd="5" destOrd="0" parTransId="{7C2678EC-D979-42B5-9932-DEB46ABF8FB7}" sibTransId="{9EB13FA8-08D1-42E6-9C2F-23FD871FC298}"/>
    <dgm:cxn modelId="{D798417A-135E-4B07-8123-0A169D83AD92}" type="presOf" srcId="{EB5828CE-C876-402C-A398-EAD96E0558E4}" destId="{D04246DC-263B-4E60-8AA4-6B113E468B99}" srcOrd="0" destOrd="0" presId="urn:microsoft.com/office/officeart/2005/8/layout/process5"/>
    <dgm:cxn modelId="{F7CEAA7B-295D-498A-94F9-3CB6F617D271}" srcId="{2C30822E-F4B9-45F9-A09B-D622CB30618A}" destId="{66798BE1-1D36-491A-B10B-09434BACDFBC}" srcOrd="8" destOrd="0" parTransId="{6B88A33C-C88B-4742-AC98-8E9610104695}" sibTransId="{CBF6EE11-A668-41BE-BCC0-C95315B74F2E}"/>
    <dgm:cxn modelId="{87812C8D-4C90-4E26-9DF8-146B5BF5AB35}" srcId="{2C30822E-F4B9-45F9-A09B-D622CB30618A}" destId="{4EA43C6B-C193-4CA7-A9EF-DE3D1C9B7232}" srcOrd="6" destOrd="0" parTransId="{8CBE7839-D191-40CD-BAD4-E4212A584523}" sibTransId="{37A1376F-508F-4D30-9AB1-2D37B8198688}"/>
    <dgm:cxn modelId="{FB81D791-EC24-4996-B556-D9A48FD83287}" srcId="{2C30822E-F4B9-45F9-A09B-D622CB30618A}" destId="{495AE921-4DF6-4D7B-8AE0-0DCFB5779CDF}" srcOrd="4" destOrd="0" parTransId="{F119F3FB-1D34-4730-A14A-F78A7638A6C2}" sibTransId="{167E0596-FAB2-4177-9681-F9D076DC8084}"/>
    <dgm:cxn modelId="{A60C81A3-634F-40F7-B0CA-19CBC9D3D6F8}" type="presOf" srcId="{37A1376F-508F-4D30-9AB1-2D37B8198688}" destId="{C3CEB435-8326-4F7F-AD8F-58902AD22534}" srcOrd="1" destOrd="0" presId="urn:microsoft.com/office/officeart/2005/8/layout/process5"/>
    <dgm:cxn modelId="{B88127A8-B0DC-4BF3-8C90-9697E11E3188}" srcId="{2C30822E-F4B9-45F9-A09B-D622CB30618A}" destId="{863CE84B-3797-4BC4-BB47-535CAB0D17E6}" srcOrd="0" destOrd="0" parTransId="{8371F562-8527-4122-9759-F21BFEED173E}" sibTransId="{9ED053A5-B013-4908-AF45-38E99C8B5E27}"/>
    <dgm:cxn modelId="{3714C8B9-067A-42AF-A10F-0AEE3CDEFBDB}" type="presOf" srcId="{02E1021F-F31E-44B9-BEE9-C948DA69D25C}" destId="{7D7B11EA-67EB-4D4B-9355-26B1B3F2847C}" srcOrd="0" destOrd="0" presId="urn:microsoft.com/office/officeart/2005/8/layout/process5"/>
    <dgm:cxn modelId="{6082D9CE-8915-4491-ABDA-E23BEBB6E910}" srcId="{2C30822E-F4B9-45F9-A09B-D622CB30618A}" destId="{02E1021F-F31E-44B9-BEE9-C948DA69D25C}" srcOrd="2" destOrd="0" parTransId="{CB9CFC01-26E2-4EE2-8A57-199EC4AD11D5}" sibTransId="{A2370F17-5C5B-4123-A8EA-5FD7CFBF128E}"/>
    <dgm:cxn modelId="{1B5071CF-FEC6-49F1-A70E-789763EE04B1}" type="presOf" srcId="{863CE84B-3797-4BC4-BB47-535CAB0D17E6}" destId="{4D8BE1AD-0143-4821-BB3C-A305FF7F6C89}" srcOrd="0" destOrd="0" presId="urn:microsoft.com/office/officeart/2005/8/layout/process5"/>
    <dgm:cxn modelId="{A8E688D6-B054-4E2E-A907-70F2A61AFD63}" type="presOf" srcId="{37A1376F-508F-4D30-9AB1-2D37B8198688}" destId="{85F642CA-9A3B-4AA0-9FEA-93ACF2DA8209}" srcOrd="0" destOrd="0" presId="urn:microsoft.com/office/officeart/2005/8/layout/process5"/>
    <dgm:cxn modelId="{DB0AE3D8-E2B8-440A-BB3D-D485C1F7F2A6}" type="presOf" srcId="{9EB13FA8-08D1-42E6-9C2F-23FD871FC298}" destId="{DB7E62DB-0903-4D1F-A7AB-3B74E4A020F4}" srcOrd="0" destOrd="0" presId="urn:microsoft.com/office/officeart/2005/8/layout/process5"/>
    <dgm:cxn modelId="{16069FDC-3EBD-4A9B-BF53-E149B9C695ED}" srcId="{2C30822E-F4B9-45F9-A09B-D622CB30618A}" destId="{994608AD-0151-480C-8BF8-027ED63343C3}" srcOrd="7" destOrd="0" parTransId="{6B5D93D4-95A3-48D9-92E5-C29433CA435D}" sibTransId="{EB5828CE-C876-402C-A398-EAD96E0558E4}"/>
    <dgm:cxn modelId="{CA3CE6E0-77D1-4771-8EFF-1C6F97DF2D8D}" type="presOf" srcId="{167E0596-FAB2-4177-9681-F9D076DC8084}" destId="{62F9E6DE-D640-49DB-B3C8-7C23B7F681D9}" srcOrd="0" destOrd="0" presId="urn:microsoft.com/office/officeart/2005/8/layout/process5"/>
    <dgm:cxn modelId="{D0DAB8E8-8396-455C-9176-3418D00E2E26}" srcId="{2C30822E-F4B9-45F9-A09B-D622CB30618A}" destId="{76A34567-EF02-4116-AFEA-2E1ACE54E99B}" srcOrd="3" destOrd="0" parTransId="{EBE0F43C-1BA4-4DE9-AD7C-C17CA6B83D82}" sibTransId="{0A2DD953-79ED-41DF-A50B-FD35FAFF0429}"/>
    <dgm:cxn modelId="{EC0361EC-80EB-4789-8B89-49822844F7A5}" type="presParOf" srcId="{26CBDEDE-9862-4C42-B71C-9256CE79DD4D}" destId="{4D8BE1AD-0143-4821-BB3C-A305FF7F6C89}" srcOrd="0" destOrd="0" presId="urn:microsoft.com/office/officeart/2005/8/layout/process5"/>
    <dgm:cxn modelId="{9D07124C-19DD-4BB6-896D-C3224F826E0A}" type="presParOf" srcId="{26CBDEDE-9862-4C42-B71C-9256CE79DD4D}" destId="{D3A26FFB-8A63-478F-BD6F-566E016C7A6F}" srcOrd="1" destOrd="0" presId="urn:microsoft.com/office/officeart/2005/8/layout/process5"/>
    <dgm:cxn modelId="{12DED7A2-B07E-4DAF-B6C4-85CF624F0B0D}" type="presParOf" srcId="{D3A26FFB-8A63-478F-BD6F-566E016C7A6F}" destId="{D1926F48-20D4-4621-9EAA-602010D7187F}" srcOrd="0" destOrd="0" presId="urn:microsoft.com/office/officeart/2005/8/layout/process5"/>
    <dgm:cxn modelId="{D18CF5CD-985F-43E1-B823-FB9E95F26FAD}" type="presParOf" srcId="{26CBDEDE-9862-4C42-B71C-9256CE79DD4D}" destId="{F7B72830-F833-496F-A863-B094428DAAEC}" srcOrd="2" destOrd="0" presId="urn:microsoft.com/office/officeart/2005/8/layout/process5"/>
    <dgm:cxn modelId="{7682C42E-F0AA-42E3-B23D-EFDC19C4EC76}" type="presParOf" srcId="{26CBDEDE-9862-4C42-B71C-9256CE79DD4D}" destId="{987D857E-2129-4813-8A9D-0BA2CB7FBDA8}" srcOrd="3" destOrd="0" presId="urn:microsoft.com/office/officeart/2005/8/layout/process5"/>
    <dgm:cxn modelId="{74286F28-6C15-41DA-873D-A1032B7404B4}" type="presParOf" srcId="{987D857E-2129-4813-8A9D-0BA2CB7FBDA8}" destId="{981F7E5F-147E-4241-B6C3-3330A664E46F}" srcOrd="0" destOrd="0" presId="urn:microsoft.com/office/officeart/2005/8/layout/process5"/>
    <dgm:cxn modelId="{2DA86806-14A0-43E9-B26A-70D781E82845}" type="presParOf" srcId="{26CBDEDE-9862-4C42-B71C-9256CE79DD4D}" destId="{7D7B11EA-67EB-4D4B-9355-26B1B3F2847C}" srcOrd="4" destOrd="0" presId="urn:microsoft.com/office/officeart/2005/8/layout/process5"/>
    <dgm:cxn modelId="{CABAF507-BBFD-4011-BC25-E01FB61EABF2}" type="presParOf" srcId="{26CBDEDE-9862-4C42-B71C-9256CE79DD4D}" destId="{28FADF4C-D790-460D-BCF2-DC5B67929202}" srcOrd="5" destOrd="0" presId="urn:microsoft.com/office/officeart/2005/8/layout/process5"/>
    <dgm:cxn modelId="{A72EA2A7-BA43-44BC-BC3E-BA9DF619D9D0}" type="presParOf" srcId="{28FADF4C-D790-460D-BCF2-DC5B67929202}" destId="{0F622D9F-C017-42D6-AF92-50FE35B07552}" srcOrd="0" destOrd="0" presId="urn:microsoft.com/office/officeart/2005/8/layout/process5"/>
    <dgm:cxn modelId="{F11CABCF-4C33-4C73-9D20-B37B6721D515}" type="presParOf" srcId="{26CBDEDE-9862-4C42-B71C-9256CE79DD4D}" destId="{E21D4D18-8F1F-4754-8C3A-C613FB1E8313}" srcOrd="6" destOrd="0" presId="urn:microsoft.com/office/officeart/2005/8/layout/process5"/>
    <dgm:cxn modelId="{F089CDBA-01B0-4002-A3D9-DE074D8C1569}" type="presParOf" srcId="{26CBDEDE-9862-4C42-B71C-9256CE79DD4D}" destId="{B47312FB-8BD7-48CC-A2ED-CC9FAE4E8CCE}" srcOrd="7" destOrd="0" presId="urn:microsoft.com/office/officeart/2005/8/layout/process5"/>
    <dgm:cxn modelId="{BC843804-1BE6-4832-B98D-3A964FFE8591}" type="presParOf" srcId="{B47312FB-8BD7-48CC-A2ED-CC9FAE4E8CCE}" destId="{D9BDA062-CB4F-47D0-9CCF-8D9D00C1CEAA}" srcOrd="0" destOrd="0" presId="urn:microsoft.com/office/officeart/2005/8/layout/process5"/>
    <dgm:cxn modelId="{60B52072-D1FF-4523-9E02-4A9B0109200A}" type="presParOf" srcId="{26CBDEDE-9862-4C42-B71C-9256CE79DD4D}" destId="{E9289D4B-C9F8-4908-89A1-922358A7B01D}" srcOrd="8" destOrd="0" presId="urn:microsoft.com/office/officeart/2005/8/layout/process5"/>
    <dgm:cxn modelId="{9D33E70C-2966-4A57-867A-6AC0CC292FF0}" type="presParOf" srcId="{26CBDEDE-9862-4C42-B71C-9256CE79DD4D}" destId="{62F9E6DE-D640-49DB-B3C8-7C23B7F681D9}" srcOrd="9" destOrd="0" presId="urn:microsoft.com/office/officeart/2005/8/layout/process5"/>
    <dgm:cxn modelId="{A9D7CBC4-94D1-4C0C-B89C-67F3A50484A6}" type="presParOf" srcId="{62F9E6DE-D640-49DB-B3C8-7C23B7F681D9}" destId="{53AB2C2B-C2CE-4309-9D18-0C5750F56840}" srcOrd="0" destOrd="0" presId="urn:microsoft.com/office/officeart/2005/8/layout/process5"/>
    <dgm:cxn modelId="{37BC5855-85FB-4A18-8452-C561C84780E5}" type="presParOf" srcId="{26CBDEDE-9862-4C42-B71C-9256CE79DD4D}" destId="{09A6FDB6-F99E-4DB5-934C-CC5837CF713D}" srcOrd="10" destOrd="0" presId="urn:microsoft.com/office/officeart/2005/8/layout/process5"/>
    <dgm:cxn modelId="{C12286F9-3DED-4A51-B3E8-D4406DBE94E8}" type="presParOf" srcId="{26CBDEDE-9862-4C42-B71C-9256CE79DD4D}" destId="{DB7E62DB-0903-4D1F-A7AB-3B74E4A020F4}" srcOrd="11" destOrd="0" presId="urn:microsoft.com/office/officeart/2005/8/layout/process5"/>
    <dgm:cxn modelId="{AB171DC8-D4C2-4BEB-B98E-E37A9802CA43}" type="presParOf" srcId="{DB7E62DB-0903-4D1F-A7AB-3B74E4A020F4}" destId="{FD76DB92-87EA-4546-8430-5E839E69DB42}" srcOrd="0" destOrd="0" presId="urn:microsoft.com/office/officeart/2005/8/layout/process5"/>
    <dgm:cxn modelId="{78FD28C8-55FB-4784-89C1-CCF219856288}" type="presParOf" srcId="{26CBDEDE-9862-4C42-B71C-9256CE79DD4D}" destId="{2C8923D9-C849-4C03-920D-C4EBBF62E5A9}" srcOrd="12" destOrd="0" presId="urn:microsoft.com/office/officeart/2005/8/layout/process5"/>
    <dgm:cxn modelId="{B5E735B0-56CB-474C-8FC3-B2D5EDD705C5}" type="presParOf" srcId="{26CBDEDE-9862-4C42-B71C-9256CE79DD4D}" destId="{85F642CA-9A3B-4AA0-9FEA-93ACF2DA8209}" srcOrd="13" destOrd="0" presId="urn:microsoft.com/office/officeart/2005/8/layout/process5"/>
    <dgm:cxn modelId="{31136BFD-6454-4442-974D-BCE58BDB897A}" type="presParOf" srcId="{85F642CA-9A3B-4AA0-9FEA-93ACF2DA8209}" destId="{C3CEB435-8326-4F7F-AD8F-58902AD22534}" srcOrd="0" destOrd="0" presId="urn:microsoft.com/office/officeart/2005/8/layout/process5"/>
    <dgm:cxn modelId="{933AB231-5B09-4A4C-B584-E15D68BAE7C8}" type="presParOf" srcId="{26CBDEDE-9862-4C42-B71C-9256CE79DD4D}" destId="{D8A559A7-CACA-4558-8742-3F07715867D3}" srcOrd="14" destOrd="0" presId="urn:microsoft.com/office/officeart/2005/8/layout/process5"/>
    <dgm:cxn modelId="{5BB95781-2825-4817-A9E4-E812303E901C}" type="presParOf" srcId="{26CBDEDE-9862-4C42-B71C-9256CE79DD4D}" destId="{D04246DC-263B-4E60-8AA4-6B113E468B99}" srcOrd="15" destOrd="0" presId="urn:microsoft.com/office/officeart/2005/8/layout/process5"/>
    <dgm:cxn modelId="{347BC421-88A8-455A-91CC-2848D3789C12}" type="presParOf" srcId="{D04246DC-263B-4E60-8AA4-6B113E468B99}" destId="{D81D0E32-4867-4CD7-A32E-664CA5BF75B6}" srcOrd="0" destOrd="0" presId="urn:microsoft.com/office/officeart/2005/8/layout/process5"/>
    <dgm:cxn modelId="{F11DD990-2A78-4A76-A2BF-9C1FA712C652}" type="presParOf" srcId="{26CBDEDE-9862-4C42-B71C-9256CE79DD4D}" destId="{3F2707AE-1821-4F82-A705-CF5430FEEB71}" srcOrd="16"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8BE1AD-0143-4821-BB3C-A305FF7F6C89}">
      <dsp:nvSpPr>
        <dsp:cNvPr id="0" name=""/>
        <dsp:cNvSpPr/>
      </dsp:nvSpPr>
      <dsp:spPr>
        <a:xfrm>
          <a:off x="172801" y="234"/>
          <a:ext cx="1545800" cy="92748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Record administration of all vaccines in the patients medical record</a:t>
          </a:r>
        </a:p>
      </dsp:txBody>
      <dsp:txXfrm>
        <a:off x="199966" y="27399"/>
        <a:ext cx="1491470" cy="873150"/>
      </dsp:txXfrm>
    </dsp:sp>
    <dsp:sp modelId="{D3A26FFB-8A63-478F-BD6F-566E016C7A6F}">
      <dsp:nvSpPr>
        <dsp:cNvPr id="0" name=""/>
        <dsp:cNvSpPr/>
      </dsp:nvSpPr>
      <dsp:spPr>
        <a:xfrm>
          <a:off x="1854632" y="272295"/>
          <a:ext cx="327709" cy="38335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854632" y="348967"/>
        <a:ext cx="229396" cy="230014"/>
      </dsp:txXfrm>
    </dsp:sp>
    <dsp:sp modelId="{F7B72830-F833-496F-A863-B094428DAAEC}">
      <dsp:nvSpPr>
        <dsp:cNvPr id="0" name=""/>
        <dsp:cNvSpPr/>
      </dsp:nvSpPr>
      <dsp:spPr>
        <a:xfrm>
          <a:off x="2336922" y="234"/>
          <a:ext cx="1545800" cy="927480"/>
        </a:xfrm>
        <a:prstGeom prst="roundRect">
          <a:avLst>
            <a:gd name="adj" fmla="val 10000"/>
          </a:avLst>
        </a:prstGeom>
        <a:solidFill>
          <a:schemeClr val="accent5">
            <a:hueOff val="-844818"/>
            <a:satOff val="-2177"/>
            <a:lumOff val="-1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The practice will receive £10.06 per vaccination via CQRS in the normal way.  There can be no PPA claim attributable to centrally obtained vaccine stocks.</a:t>
          </a:r>
        </a:p>
      </dsp:txBody>
      <dsp:txXfrm>
        <a:off x="2364087" y="27399"/>
        <a:ext cx="1491470" cy="873150"/>
      </dsp:txXfrm>
    </dsp:sp>
    <dsp:sp modelId="{987D857E-2129-4813-8A9D-0BA2CB7FBDA8}">
      <dsp:nvSpPr>
        <dsp:cNvPr id="0" name=""/>
        <dsp:cNvSpPr/>
      </dsp:nvSpPr>
      <dsp:spPr>
        <a:xfrm>
          <a:off x="4018753" y="272295"/>
          <a:ext cx="327709" cy="383358"/>
        </a:xfrm>
        <a:prstGeom prst="rightArrow">
          <a:avLst>
            <a:gd name="adj1" fmla="val 60000"/>
            <a:gd name="adj2" fmla="val 50000"/>
          </a:avLst>
        </a:prstGeom>
        <a:solidFill>
          <a:schemeClr val="accent5">
            <a:hueOff val="-965506"/>
            <a:satOff val="-2488"/>
            <a:lumOff val="-168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018753" y="348967"/>
        <a:ext cx="229396" cy="230014"/>
      </dsp:txXfrm>
    </dsp:sp>
    <dsp:sp modelId="{7D7B11EA-67EB-4D4B-9355-26B1B3F2847C}">
      <dsp:nvSpPr>
        <dsp:cNvPr id="0" name=""/>
        <dsp:cNvSpPr/>
      </dsp:nvSpPr>
      <dsp:spPr>
        <a:xfrm>
          <a:off x="4501042" y="234"/>
          <a:ext cx="1545800" cy="927480"/>
        </a:xfrm>
        <a:prstGeom prst="roundRect">
          <a:avLst>
            <a:gd name="adj" fmla="val 10000"/>
          </a:avLst>
        </a:prstGeom>
        <a:solidFill>
          <a:schemeClr val="accent5">
            <a:hueOff val="-1689636"/>
            <a:satOff val="-4355"/>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Ensure that appropriate and accurate recording of vaccine supply, both stored and administered, is maintained by all practice health professionals.</a:t>
          </a:r>
        </a:p>
      </dsp:txBody>
      <dsp:txXfrm>
        <a:off x="4528207" y="27399"/>
        <a:ext cx="1491470" cy="873150"/>
      </dsp:txXfrm>
    </dsp:sp>
    <dsp:sp modelId="{28FADF4C-D790-460D-BCF2-DC5B67929202}">
      <dsp:nvSpPr>
        <dsp:cNvPr id="0" name=""/>
        <dsp:cNvSpPr/>
      </dsp:nvSpPr>
      <dsp:spPr>
        <a:xfrm rot="5400000">
          <a:off x="5110088" y="1035920"/>
          <a:ext cx="327709" cy="383358"/>
        </a:xfrm>
        <a:prstGeom prst="rightArrow">
          <a:avLst>
            <a:gd name="adj1" fmla="val 60000"/>
            <a:gd name="adj2" fmla="val 50000"/>
          </a:avLst>
        </a:prstGeom>
        <a:solidFill>
          <a:schemeClr val="accent5">
            <a:hueOff val="-1931012"/>
            <a:satOff val="-4977"/>
            <a:lumOff val="-336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5158936" y="1063745"/>
        <a:ext cx="230014" cy="229396"/>
      </dsp:txXfrm>
    </dsp:sp>
    <dsp:sp modelId="{E21D4D18-8F1F-4754-8C3A-C613FB1E8313}">
      <dsp:nvSpPr>
        <dsp:cNvPr id="0" name=""/>
        <dsp:cNvSpPr/>
      </dsp:nvSpPr>
      <dsp:spPr>
        <a:xfrm>
          <a:off x="4501042" y="1546034"/>
          <a:ext cx="1545800" cy="927480"/>
        </a:xfrm>
        <a:prstGeom prst="roundRect">
          <a:avLst>
            <a:gd name="adj" fmla="val 10000"/>
          </a:avLst>
        </a:prstGeom>
        <a:solidFill>
          <a:schemeClr val="accent5">
            <a:hueOff val="-2534453"/>
            <a:satOff val="-6532"/>
            <a:lumOff val="-4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Font typeface="Wingdings" panose="05000000000000000000" pitchFamily="2" charset="2"/>
            <a:buNone/>
          </a:pPr>
          <a:r>
            <a:rPr lang="en-GB" sz="700" kern="1200"/>
            <a:t>Should stock become damaged, for whatever reason , please record the quantity and batch numbers so that each vaccine can be accounted for.                                                                                                                                                                                                                                                                                                                                                                                                                                                                                                                                                                                                                                                                                                                                                                                                                                                                                                                                                                                                                                                                                                                                                                                                                                                                                                                                                                                                                                                                                                                                                                                                                                                                                                                                                                                                                                                                                                                                                                                                                                                                                                                                                                                                                                                                                                                                                                                                                                                                         </a:t>
          </a:r>
        </a:p>
      </dsp:txBody>
      <dsp:txXfrm>
        <a:off x="4528207" y="1573199"/>
        <a:ext cx="1491470" cy="873150"/>
      </dsp:txXfrm>
    </dsp:sp>
    <dsp:sp modelId="{B47312FB-8BD7-48CC-A2ED-CC9FAE4E8CCE}">
      <dsp:nvSpPr>
        <dsp:cNvPr id="0" name=""/>
        <dsp:cNvSpPr/>
      </dsp:nvSpPr>
      <dsp:spPr>
        <a:xfrm rot="10800000">
          <a:off x="4037302" y="1818095"/>
          <a:ext cx="327709" cy="383358"/>
        </a:xfrm>
        <a:prstGeom prst="rightArrow">
          <a:avLst>
            <a:gd name="adj1" fmla="val 60000"/>
            <a:gd name="adj2" fmla="val 50000"/>
          </a:avLst>
        </a:prstGeom>
        <a:solidFill>
          <a:schemeClr val="accent5">
            <a:hueOff val="-2896518"/>
            <a:satOff val="-7465"/>
            <a:lumOff val="-504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4135615" y="1894767"/>
        <a:ext cx="229396" cy="230014"/>
      </dsp:txXfrm>
    </dsp:sp>
    <dsp:sp modelId="{E9289D4B-C9F8-4908-89A1-922358A7B01D}">
      <dsp:nvSpPr>
        <dsp:cNvPr id="0" name=""/>
        <dsp:cNvSpPr/>
      </dsp:nvSpPr>
      <dsp:spPr>
        <a:xfrm>
          <a:off x="2336922" y="1546034"/>
          <a:ext cx="1545800" cy="927480"/>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Practices need to complete and return an audit to NHS Business Services Authority by the end of April 20201.  </a:t>
          </a:r>
        </a:p>
        <a:p>
          <a:pPr marL="0" lvl="0" indent="0" algn="ctr" defTabSz="311150">
            <a:lnSpc>
              <a:spcPct val="90000"/>
            </a:lnSpc>
            <a:spcBef>
              <a:spcPct val="0"/>
            </a:spcBef>
            <a:spcAft>
              <a:spcPct val="35000"/>
            </a:spcAft>
            <a:buNone/>
          </a:pPr>
          <a:endParaRPr lang="en-GB" sz="700" kern="1200"/>
        </a:p>
        <a:p>
          <a:pPr marL="0" lvl="0" indent="0" algn="ctr" defTabSz="311150">
            <a:lnSpc>
              <a:spcPct val="90000"/>
            </a:lnSpc>
            <a:spcBef>
              <a:spcPct val="0"/>
            </a:spcBef>
            <a:spcAft>
              <a:spcPct val="35000"/>
            </a:spcAft>
            <a:buNone/>
          </a:pPr>
          <a:r>
            <a:rPr lang="en-GB" sz="700" b="1" kern="1200"/>
            <a:t>This audit will include questions such as:</a:t>
          </a:r>
        </a:p>
      </dsp:txBody>
      <dsp:txXfrm>
        <a:off x="2364087" y="1573199"/>
        <a:ext cx="1491470" cy="873150"/>
      </dsp:txXfrm>
    </dsp:sp>
    <dsp:sp modelId="{62F9E6DE-D640-49DB-B3C8-7C23B7F681D9}">
      <dsp:nvSpPr>
        <dsp:cNvPr id="0" name=""/>
        <dsp:cNvSpPr/>
      </dsp:nvSpPr>
      <dsp:spPr>
        <a:xfrm rot="10800000">
          <a:off x="1873182" y="1818095"/>
          <a:ext cx="327709" cy="383358"/>
        </a:xfrm>
        <a:prstGeom prst="rightArrow">
          <a:avLst>
            <a:gd name="adj1" fmla="val 60000"/>
            <a:gd name="adj2" fmla="val 50000"/>
          </a:avLst>
        </a:prstGeom>
        <a:solidFill>
          <a:schemeClr val="accent5">
            <a:hueOff val="-3862025"/>
            <a:satOff val="-9954"/>
            <a:lumOff val="-672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1971495" y="1894767"/>
        <a:ext cx="229396" cy="230014"/>
      </dsp:txXfrm>
    </dsp:sp>
    <dsp:sp modelId="{09A6FDB6-F99E-4DB5-934C-CC5837CF713D}">
      <dsp:nvSpPr>
        <dsp:cNvPr id="0" name=""/>
        <dsp:cNvSpPr/>
      </dsp:nvSpPr>
      <dsp:spPr>
        <a:xfrm>
          <a:off x="172801" y="1546034"/>
          <a:ext cx="1545800" cy="927480"/>
        </a:xfrm>
        <a:prstGeom prst="roundRect">
          <a:avLst>
            <a:gd name="adj" fmla="val 10000"/>
          </a:avLst>
        </a:prstGeom>
        <a:solidFill>
          <a:schemeClr val="accent5">
            <a:hueOff val="-4224089"/>
            <a:satOff val="-10887"/>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a:t>Q: </a:t>
          </a:r>
          <a:r>
            <a:rPr lang="en-GB" sz="700" kern="1200"/>
            <a:t>Information on how many locally procured vaccines, of each type, the practice has purchased, administered, redistrubted or returned to manufactures during the season.</a:t>
          </a:r>
        </a:p>
      </dsp:txBody>
      <dsp:txXfrm>
        <a:off x="199966" y="1573199"/>
        <a:ext cx="1491470" cy="873150"/>
      </dsp:txXfrm>
    </dsp:sp>
    <dsp:sp modelId="{DB7E62DB-0903-4D1F-A7AB-3B74E4A020F4}">
      <dsp:nvSpPr>
        <dsp:cNvPr id="0" name=""/>
        <dsp:cNvSpPr/>
      </dsp:nvSpPr>
      <dsp:spPr>
        <a:xfrm rot="5400000">
          <a:off x="781847" y="2581721"/>
          <a:ext cx="327709" cy="383358"/>
        </a:xfrm>
        <a:prstGeom prst="rightArrow">
          <a:avLst>
            <a:gd name="adj1" fmla="val 60000"/>
            <a:gd name="adj2" fmla="val 50000"/>
          </a:avLst>
        </a:prstGeom>
        <a:solidFill>
          <a:schemeClr val="accent5">
            <a:hueOff val="-4827531"/>
            <a:satOff val="-12442"/>
            <a:lumOff val="-840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830695" y="2609546"/>
        <a:ext cx="230014" cy="229396"/>
      </dsp:txXfrm>
    </dsp:sp>
    <dsp:sp modelId="{2C8923D9-C849-4C03-920D-C4EBBF62E5A9}">
      <dsp:nvSpPr>
        <dsp:cNvPr id="0" name=""/>
        <dsp:cNvSpPr/>
      </dsp:nvSpPr>
      <dsp:spPr>
        <a:xfrm>
          <a:off x="172801" y="3091835"/>
          <a:ext cx="1545800" cy="927480"/>
        </a:xfrm>
        <a:prstGeom prst="roundRect">
          <a:avLst>
            <a:gd name="adj" fmla="val 10000"/>
          </a:avLst>
        </a:prstGeom>
        <a:solidFill>
          <a:schemeClr val="accent5">
            <a:hueOff val="-5068907"/>
            <a:satOff val="-13064"/>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a:t>Q: </a:t>
          </a:r>
          <a:r>
            <a:rPr lang="en-GB" sz="700" kern="1200"/>
            <a:t>Information on how many DHSC supplied vaccines, of each type, the practice has sourced from each manufacturer during the season and, of these, how many have been adminitered, redistributed or destroyed.</a:t>
          </a:r>
        </a:p>
      </dsp:txBody>
      <dsp:txXfrm>
        <a:off x="199966" y="3119000"/>
        <a:ext cx="1491470" cy="873150"/>
      </dsp:txXfrm>
    </dsp:sp>
    <dsp:sp modelId="{85F642CA-9A3B-4AA0-9FEA-93ACF2DA8209}">
      <dsp:nvSpPr>
        <dsp:cNvPr id="0" name=""/>
        <dsp:cNvSpPr/>
      </dsp:nvSpPr>
      <dsp:spPr>
        <a:xfrm>
          <a:off x="1854632" y="3363896"/>
          <a:ext cx="327709" cy="383358"/>
        </a:xfrm>
        <a:prstGeom prst="rightArrow">
          <a:avLst>
            <a:gd name="adj1" fmla="val 60000"/>
            <a:gd name="adj2" fmla="val 50000"/>
          </a:avLst>
        </a:prstGeom>
        <a:solidFill>
          <a:schemeClr val="accent5">
            <a:hueOff val="-5793037"/>
            <a:satOff val="-14931"/>
            <a:lumOff val="-1008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854632" y="3440568"/>
        <a:ext cx="229396" cy="230014"/>
      </dsp:txXfrm>
    </dsp:sp>
    <dsp:sp modelId="{D8A559A7-CACA-4558-8742-3F07715867D3}">
      <dsp:nvSpPr>
        <dsp:cNvPr id="0" name=""/>
        <dsp:cNvSpPr/>
      </dsp:nvSpPr>
      <dsp:spPr>
        <a:xfrm>
          <a:off x="2336922" y="3091835"/>
          <a:ext cx="1545800" cy="927480"/>
        </a:xfrm>
        <a:prstGeom prst="roundRect">
          <a:avLst>
            <a:gd name="adj" fmla="val 10000"/>
          </a:avLst>
        </a:prstGeom>
        <a:solidFill>
          <a:schemeClr val="accent5">
            <a:hueOff val="-5913725"/>
            <a:satOff val="-15242"/>
            <a:lumOff val="-10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 declaration signed by a GP partner of the practice confirming that, to their knowledge, the infomration provided is accurate and the practice has claimed appropriately for both locally procured and centreally supplied vaccines</a:t>
          </a:r>
        </a:p>
      </dsp:txBody>
      <dsp:txXfrm>
        <a:off x="2364087" y="3119000"/>
        <a:ext cx="1491470" cy="873150"/>
      </dsp:txXfrm>
    </dsp:sp>
    <dsp:sp modelId="{D04246DC-263B-4E60-8AA4-6B113E468B99}">
      <dsp:nvSpPr>
        <dsp:cNvPr id="0" name=""/>
        <dsp:cNvSpPr/>
      </dsp:nvSpPr>
      <dsp:spPr>
        <a:xfrm>
          <a:off x="4018753" y="3363896"/>
          <a:ext cx="327709" cy="383358"/>
        </a:xfrm>
        <a:prstGeom prst="rightArrow">
          <a:avLst>
            <a:gd name="adj1" fmla="val 60000"/>
            <a:gd name="adj2" fmla="val 50000"/>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018753" y="3440568"/>
        <a:ext cx="229396" cy="230014"/>
      </dsp:txXfrm>
    </dsp:sp>
    <dsp:sp modelId="{3F2707AE-1821-4F82-A705-CF5430FEEB71}">
      <dsp:nvSpPr>
        <dsp:cNvPr id="0" name=""/>
        <dsp:cNvSpPr/>
      </dsp:nvSpPr>
      <dsp:spPr>
        <a:xfrm>
          <a:off x="4501042" y="3091835"/>
          <a:ext cx="1545800" cy="927480"/>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Deadlines of returns for both the audit and declaration will be the end of April 2021</a:t>
          </a:r>
        </a:p>
      </dsp:txBody>
      <dsp:txXfrm>
        <a:off x="4528207" y="3119000"/>
        <a:ext cx="1491470" cy="8731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3T16:07:12.694"/>
    </inkml:context>
    <inkml:brush xml:id="br0">
      <inkml:brushProperty name="width" value="0.05" units="cm"/>
      <inkml:brushProperty name="height" value="0.05" units="cm"/>
    </inkml:brush>
  </inkml:definitions>
  <inkml:trace contextRef="#ctx0" brushRef="#br0">9 7 4992,'-7'-3'1669,"6"2"-970,1 1-123,0 0-16,0 0-208,0 0-54,0 0 257,0 0 144,0 0-161,0 0 188,0 0 58,0 0-272,0-2-161,1 1-7364,6 1 6123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227E-71F7-430A-A5E4-3F4D666D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Freeman</dc:creator>
  <cp:keywords/>
  <dc:description/>
  <cp:lastModifiedBy>Sandra Rodbourne</cp:lastModifiedBy>
  <cp:revision>2</cp:revision>
  <cp:lastPrinted>2020-09-22T09:52:00Z</cp:lastPrinted>
  <dcterms:created xsi:type="dcterms:W3CDTF">2020-10-23T11:33:00Z</dcterms:created>
  <dcterms:modified xsi:type="dcterms:W3CDTF">2020-10-23T11:33:00Z</dcterms:modified>
</cp:coreProperties>
</file>