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FE101" w14:textId="77777777" w:rsidR="007C4547" w:rsidRDefault="007C4547"/>
    <w:p w14:paraId="07C7DDCD" w14:textId="77777777" w:rsidR="0003612C" w:rsidRDefault="0003612C"/>
    <w:tbl>
      <w:tblPr>
        <w:tblStyle w:val="TableGrid"/>
        <w:tblW w:w="0" w:type="auto"/>
        <w:tblLook w:val="04A0" w:firstRow="1" w:lastRow="0" w:firstColumn="1" w:lastColumn="0" w:noHBand="0" w:noVBand="1"/>
      </w:tblPr>
      <w:tblGrid>
        <w:gridCol w:w="3977"/>
        <w:gridCol w:w="1841"/>
        <w:gridCol w:w="3576"/>
      </w:tblGrid>
      <w:tr w:rsidR="0003612C" w14:paraId="2B22D2E9" w14:textId="77777777" w:rsidTr="00D3481A">
        <w:tc>
          <w:tcPr>
            <w:tcW w:w="3977" w:type="dxa"/>
          </w:tcPr>
          <w:p w14:paraId="1994AD4F" w14:textId="77777777" w:rsidR="0003612C" w:rsidRDefault="0003612C" w:rsidP="0003612C">
            <w:pPr>
              <w:jc w:val="center"/>
              <w:rPr>
                <w:b/>
                <w:sz w:val="48"/>
                <w:szCs w:val="48"/>
              </w:rPr>
            </w:pPr>
          </w:p>
          <w:p w14:paraId="77C96D23" w14:textId="77777777" w:rsidR="0003612C" w:rsidRPr="0003612C" w:rsidRDefault="0003612C" w:rsidP="0003612C">
            <w:pPr>
              <w:jc w:val="center"/>
              <w:rPr>
                <w:b/>
                <w:sz w:val="48"/>
                <w:szCs w:val="48"/>
              </w:rPr>
            </w:pPr>
            <w:r w:rsidRPr="0003612C">
              <w:rPr>
                <w:b/>
                <w:sz w:val="48"/>
                <w:szCs w:val="48"/>
              </w:rPr>
              <w:t>Chief Executive’s Report</w:t>
            </w:r>
          </w:p>
        </w:tc>
        <w:tc>
          <w:tcPr>
            <w:tcW w:w="1841" w:type="dxa"/>
          </w:tcPr>
          <w:p w14:paraId="056CD5D3" w14:textId="77777777" w:rsidR="0003612C" w:rsidRDefault="0003612C"/>
          <w:p w14:paraId="3B53A7BD" w14:textId="77777777" w:rsidR="0003612C" w:rsidRDefault="0003612C"/>
          <w:p w14:paraId="1356DE52" w14:textId="77777777" w:rsidR="0003612C" w:rsidRDefault="0003612C"/>
          <w:p w14:paraId="069BAF68" w14:textId="77777777" w:rsidR="0003612C" w:rsidRDefault="0003612C"/>
          <w:p w14:paraId="1DA4E46D" w14:textId="0E9EE3B8" w:rsidR="0003612C" w:rsidRDefault="00432F55">
            <w:r>
              <w:t>2018/0</w:t>
            </w:r>
            <w:r w:rsidR="007C0855">
              <w:t>3</w:t>
            </w:r>
          </w:p>
          <w:p w14:paraId="59DBF38D" w14:textId="53BBFB38" w:rsidR="0003612C" w:rsidRDefault="007C0855">
            <w:r>
              <w:t>July/September</w:t>
            </w:r>
            <w:r w:rsidR="0079512D">
              <w:t xml:space="preserve"> 2018</w:t>
            </w:r>
          </w:p>
        </w:tc>
        <w:tc>
          <w:tcPr>
            <w:tcW w:w="3576" w:type="dxa"/>
          </w:tcPr>
          <w:p w14:paraId="661B4CC6" w14:textId="77777777" w:rsidR="0003612C" w:rsidRDefault="0003612C">
            <w:r>
              <w:rPr>
                <w:noProof/>
                <w:lang w:eastAsia="en-GB"/>
              </w:rPr>
              <w:drawing>
                <wp:inline distT="0" distB="0" distL="0" distR="0" wp14:anchorId="69DA68E0" wp14:editId="7AF63DB3">
                  <wp:extent cx="2133600" cy="711200"/>
                  <wp:effectExtent l="0" t="0" r="0" b="0"/>
                  <wp:docPr id="1" name="Picture 1"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405D3EFE" w14:textId="77777777" w:rsidR="0003612C" w:rsidRDefault="0003612C"/>
          <w:p w14:paraId="544661CD" w14:textId="77777777" w:rsidR="0003612C" w:rsidRDefault="0003612C"/>
        </w:tc>
      </w:tr>
    </w:tbl>
    <w:p w14:paraId="6C046947" w14:textId="1EBFB69D" w:rsidR="007C0855" w:rsidRDefault="007C0855" w:rsidP="007C0855">
      <w:pPr>
        <w:rPr>
          <w:b/>
        </w:rPr>
      </w:pPr>
    </w:p>
    <w:p w14:paraId="51EE728F" w14:textId="77777777" w:rsidR="007C0855" w:rsidRPr="00107587" w:rsidRDefault="007C0855" w:rsidP="007C0855">
      <w:pPr>
        <w:pStyle w:val="ListParagraph"/>
        <w:numPr>
          <w:ilvl w:val="0"/>
          <w:numId w:val="32"/>
        </w:numPr>
        <w:rPr>
          <w:b/>
        </w:rPr>
      </w:pPr>
      <w:r>
        <w:rPr>
          <w:b/>
        </w:rPr>
        <w:t>Resignation of NHS England Director of Primary Care</w:t>
      </w:r>
    </w:p>
    <w:p w14:paraId="43ADC3D9" w14:textId="77777777" w:rsidR="007C0855" w:rsidRDefault="007C0855" w:rsidP="007C0855">
      <w:pPr>
        <w:ind w:left="360"/>
        <w:rPr>
          <w:b/>
        </w:rPr>
      </w:pPr>
    </w:p>
    <w:p w14:paraId="7C3F24E2" w14:textId="77777777" w:rsidR="007C0855" w:rsidRDefault="007C0855" w:rsidP="007C0855">
      <w:r>
        <w:t>I am sure that most colleagues will be aware that the NHS England Director of Primary Care, Dr Arvind Madan has resigned.  This appears related to two issues; the first being his comments that GPs should be ‘pleased’ when small practices closed, which is a gross disservice to the many colleagues and practice staff who work in “small” practices providing a high quality of care to patients, with higher than average patient experience statistics, and secondly the discovery that Dr Madan had been anonymously contributing comments to Pulse articles under the pseudonym ‘Devil’s Advocate’, which appears at the least an unusual occupational activity for NHS England’s Director of Primary Care, and certainly undermines his credibility.</w:t>
      </w:r>
    </w:p>
    <w:p w14:paraId="1D76F621" w14:textId="77777777" w:rsidR="007C0855" w:rsidRDefault="007C0855" w:rsidP="007C0855">
      <w:pPr>
        <w:rPr>
          <w:b/>
        </w:rPr>
      </w:pPr>
    </w:p>
    <w:p w14:paraId="77CD058F" w14:textId="77777777" w:rsidR="007C0855" w:rsidRDefault="007C0855" w:rsidP="007C0855">
      <w:r w:rsidRPr="00D7499F">
        <w:t xml:space="preserve"> Dr Madan will presumably return to partnership working at the Hurley Group, whose business model would appear to be p</w:t>
      </w:r>
      <w:r>
        <w:t>redicated in part on the ‘failure’ of small practices, or at least their acquisition.</w:t>
      </w:r>
    </w:p>
    <w:p w14:paraId="0F5B3A49" w14:textId="77777777" w:rsidR="007C0855" w:rsidRDefault="007C0855" w:rsidP="007C0855">
      <w:pPr>
        <w:rPr>
          <w:b/>
        </w:rPr>
      </w:pPr>
    </w:p>
    <w:p w14:paraId="39D7B566" w14:textId="7DFE240A" w:rsidR="007C0855" w:rsidRDefault="007C0855" w:rsidP="007C0855">
      <w:r w:rsidRPr="00D7499F">
        <w:t xml:space="preserve">NHS England, in Dr Madan’s </w:t>
      </w:r>
      <w:r>
        <w:t xml:space="preserve">judgement, includes those who are “dedicated to supporting General Practice and wider primary care”.  His interim successor is the current NHS England Medical Director of Primary Care, Dr Nikki </w:t>
      </w:r>
      <w:proofErr w:type="spellStart"/>
      <w:r>
        <w:t>Kanari</w:t>
      </w:r>
      <w:proofErr w:type="spellEnd"/>
      <w:r>
        <w:t>, a substantive appointment will be made in the Autumn.</w:t>
      </w:r>
      <w:r>
        <w:br/>
      </w:r>
    </w:p>
    <w:p w14:paraId="2850FD66" w14:textId="77777777" w:rsidR="007C35CE" w:rsidRDefault="007C35CE" w:rsidP="007C35CE">
      <w:pPr>
        <w:pStyle w:val="ListParagraph"/>
        <w:numPr>
          <w:ilvl w:val="0"/>
          <w:numId w:val="32"/>
        </w:numPr>
        <w:suppressAutoHyphens/>
        <w:autoSpaceDN w:val="0"/>
        <w:jc w:val="both"/>
        <w:textAlignment w:val="baseline"/>
        <w:rPr>
          <w:rFonts w:cstheme="minorBidi"/>
          <w:b/>
        </w:rPr>
      </w:pPr>
      <w:r>
        <w:rPr>
          <w:rFonts w:cstheme="minorBidi"/>
          <w:b/>
        </w:rPr>
        <w:t>GP Earnings and Expenses Report</w:t>
      </w:r>
    </w:p>
    <w:p w14:paraId="4615EBC0" w14:textId="77777777" w:rsidR="007C35CE" w:rsidRDefault="007C35CE" w:rsidP="007C35CE">
      <w:pPr>
        <w:suppressAutoHyphens/>
        <w:autoSpaceDN w:val="0"/>
        <w:jc w:val="both"/>
        <w:textAlignment w:val="baseline"/>
        <w:rPr>
          <w:rFonts w:cstheme="minorBidi"/>
          <w:b/>
        </w:rPr>
      </w:pPr>
    </w:p>
    <w:p w14:paraId="5201F958" w14:textId="77777777" w:rsidR="007C35CE" w:rsidRDefault="007C35CE" w:rsidP="007C35CE">
      <w:pPr>
        <w:rPr>
          <w:rFonts w:ascii="Calibri" w:hAnsi="Calibri"/>
          <w:sz w:val="22"/>
          <w:szCs w:val="22"/>
        </w:rPr>
      </w:pPr>
      <w:r>
        <w:rPr>
          <w:rFonts w:cstheme="minorBidi"/>
        </w:rPr>
        <w:t xml:space="preserve">The 2016/17 GP Earnings and Expenses Report has now been published; the full Report is available  at: ( </w:t>
      </w:r>
      <w:hyperlink r:id="rId7" w:history="1">
        <w:r>
          <w:rPr>
            <w:rStyle w:val="Hyperlink"/>
          </w:rPr>
          <w:t>https://digital.nhs.uk/data-and-information/publications/statistical/gp-earnings-and-expenses-estimates/2016-17</w:t>
        </w:r>
      </w:hyperlink>
      <w:r>
        <w:t xml:space="preserve"> )</w:t>
      </w:r>
    </w:p>
    <w:p w14:paraId="30C78195" w14:textId="77777777" w:rsidR="007C35CE" w:rsidRDefault="007C35CE" w:rsidP="007C35CE">
      <w:r>
        <w:t>but highlights of the report are as follows; colleagues should note these figures are based on anonymised aggregated tax returns and are not linked to working hours.  Figures also exclude GPs who hold more than one contract.</w:t>
      </w:r>
    </w:p>
    <w:p w14:paraId="70C2F815" w14:textId="77777777" w:rsidR="007C35CE" w:rsidRDefault="007C35CE" w:rsidP="007C35CE"/>
    <w:p w14:paraId="02B43E5C" w14:textId="77777777" w:rsidR="007C35CE" w:rsidRDefault="007C35CE" w:rsidP="007C35CE">
      <w:pPr>
        <w:rPr>
          <w:rFonts w:ascii="Calibri" w:hAnsi="Calibri"/>
          <w:sz w:val="22"/>
          <w:szCs w:val="22"/>
        </w:rPr>
      </w:pPr>
    </w:p>
    <w:p w14:paraId="57C9054B" w14:textId="77777777" w:rsidR="007C35CE" w:rsidRPr="00261914" w:rsidRDefault="007C35CE" w:rsidP="007C35CE">
      <w:pPr>
        <w:rPr>
          <w:b/>
        </w:rPr>
      </w:pPr>
      <w:r w:rsidRPr="00261914">
        <w:rPr>
          <w:b/>
        </w:rPr>
        <w:t>Average 2016/17 income, before tax in England:</w:t>
      </w:r>
    </w:p>
    <w:p w14:paraId="55DCFF17" w14:textId="77777777" w:rsidR="007C35CE" w:rsidRPr="00261914" w:rsidRDefault="007C35CE" w:rsidP="007C35CE">
      <w:pPr>
        <w:rPr>
          <w:b/>
        </w:rPr>
      </w:pPr>
    </w:p>
    <w:p w14:paraId="1A32F4F7" w14:textId="77777777" w:rsidR="007C35CE" w:rsidRDefault="007C35CE" w:rsidP="007C35CE">
      <w:pPr>
        <w:pStyle w:val="ListParagraph"/>
        <w:numPr>
          <w:ilvl w:val="0"/>
          <w:numId w:val="40"/>
        </w:numPr>
        <w:suppressAutoHyphens/>
        <w:autoSpaceDN w:val="0"/>
        <w:jc w:val="both"/>
        <w:textAlignment w:val="baseline"/>
        <w:rPr>
          <w:rFonts w:cstheme="minorBidi"/>
        </w:rPr>
      </w:pPr>
      <w:r>
        <w:rPr>
          <w:rFonts w:cstheme="minorBidi"/>
        </w:rPr>
        <w:t>For GP Contracts (either GMS/PMS Contracts) was £109,600 compared with £104,900 in 2015/16, an increase of 4.6%</w:t>
      </w:r>
    </w:p>
    <w:p w14:paraId="2FEC78E1" w14:textId="77777777" w:rsidR="007C35CE" w:rsidRDefault="007C35CE" w:rsidP="007C35CE">
      <w:pPr>
        <w:suppressAutoHyphens/>
        <w:autoSpaceDN w:val="0"/>
        <w:jc w:val="both"/>
        <w:textAlignment w:val="baseline"/>
        <w:rPr>
          <w:rFonts w:cstheme="minorBidi"/>
        </w:rPr>
      </w:pPr>
    </w:p>
    <w:p w14:paraId="1DE61EB7" w14:textId="77777777" w:rsidR="007C35CE" w:rsidRDefault="007C35CE" w:rsidP="007C35CE">
      <w:pPr>
        <w:pStyle w:val="ListParagraph"/>
        <w:numPr>
          <w:ilvl w:val="0"/>
          <w:numId w:val="40"/>
        </w:numPr>
        <w:suppressAutoHyphens/>
        <w:autoSpaceDN w:val="0"/>
        <w:jc w:val="both"/>
        <w:textAlignment w:val="baseline"/>
        <w:rPr>
          <w:rFonts w:cstheme="minorBidi"/>
        </w:rPr>
      </w:pPr>
      <w:r>
        <w:rPr>
          <w:rFonts w:cstheme="minorBidi"/>
        </w:rPr>
        <w:t>For salaried GPs employed by GMS/PMS Contractors was £56,500, compared to £55,900 in 2015/16, an increase of 1.2%</w:t>
      </w:r>
    </w:p>
    <w:p w14:paraId="20351731" w14:textId="77777777" w:rsidR="007C35CE" w:rsidRPr="00B9684A" w:rsidRDefault="007C35CE" w:rsidP="007C35CE">
      <w:pPr>
        <w:pStyle w:val="ListParagraph"/>
        <w:rPr>
          <w:rFonts w:cstheme="minorBidi"/>
        </w:rPr>
      </w:pPr>
    </w:p>
    <w:p w14:paraId="2FC77BEF" w14:textId="77777777" w:rsidR="007C35CE" w:rsidRDefault="007C35CE" w:rsidP="007C35CE">
      <w:pPr>
        <w:pStyle w:val="ListParagraph"/>
        <w:numPr>
          <w:ilvl w:val="0"/>
          <w:numId w:val="40"/>
        </w:numPr>
        <w:suppressAutoHyphens/>
        <w:autoSpaceDN w:val="0"/>
        <w:jc w:val="both"/>
        <w:textAlignment w:val="baseline"/>
        <w:rPr>
          <w:rFonts w:cstheme="minorBidi"/>
        </w:rPr>
      </w:pPr>
      <w:r>
        <w:rPr>
          <w:rFonts w:cstheme="minorBidi"/>
        </w:rPr>
        <w:lastRenderedPageBreak/>
        <w:t>The expenses/earnings ratio is 67.6%; expenses have grown at a faster rate than income before tax for contractor GPs since 2005/06</w:t>
      </w:r>
    </w:p>
    <w:p w14:paraId="12EA3E18" w14:textId="77777777" w:rsidR="007C35CE" w:rsidRPr="00B9684A" w:rsidRDefault="007C35CE" w:rsidP="007C35CE">
      <w:pPr>
        <w:pStyle w:val="ListParagraph"/>
        <w:rPr>
          <w:rFonts w:cstheme="minorBidi"/>
        </w:rPr>
      </w:pPr>
    </w:p>
    <w:p w14:paraId="3F5CD006" w14:textId="77777777" w:rsidR="007C35CE" w:rsidRDefault="007C35CE" w:rsidP="007C35CE">
      <w:pPr>
        <w:suppressAutoHyphens/>
        <w:autoSpaceDN w:val="0"/>
        <w:ind w:left="720"/>
        <w:jc w:val="both"/>
        <w:textAlignment w:val="baseline"/>
        <w:rPr>
          <w:rFonts w:cstheme="minorBidi"/>
        </w:rPr>
      </w:pPr>
      <w:r>
        <w:rPr>
          <w:rFonts w:cstheme="minorBidi"/>
        </w:rPr>
        <w:t>However, although earnings have risen, there has be4en a fall in the number of FTE GPs, and therefore a significant proportion of the apparent rise in contractor income may be accounted for by the falling workforce.</w:t>
      </w:r>
    </w:p>
    <w:p w14:paraId="66A53D96" w14:textId="77777777" w:rsidR="007C35CE" w:rsidRDefault="007C35CE" w:rsidP="007C35CE">
      <w:pPr>
        <w:suppressAutoHyphens/>
        <w:autoSpaceDN w:val="0"/>
        <w:ind w:left="720"/>
        <w:jc w:val="both"/>
        <w:textAlignment w:val="baseline"/>
        <w:rPr>
          <w:rFonts w:cstheme="minorBidi"/>
        </w:rPr>
      </w:pPr>
    </w:p>
    <w:p w14:paraId="6C38814D" w14:textId="77777777" w:rsidR="007C35CE" w:rsidRDefault="007C35CE" w:rsidP="007C35CE">
      <w:pPr>
        <w:suppressAutoHyphens/>
        <w:autoSpaceDN w:val="0"/>
        <w:ind w:left="720"/>
        <w:jc w:val="both"/>
        <w:textAlignment w:val="baseline"/>
        <w:rPr>
          <w:rFonts w:cstheme="minorBidi"/>
        </w:rPr>
      </w:pPr>
      <w:r>
        <w:rPr>
          <w:rFonts w:cstheme="minorBidi"/>
        </w:rPr>
        <w:t xml:space="preserve">The expenses/earnings ratio continues </w:t>
      </w:r>
      <w:r w:rsidRPr="00CB0A9E">
        <w:rPr>
          <w:rFonts w:cstheme="minorBidi"/>
        </w:rPr>
        <w:t>to rise inexorably</w:t>
      </w:r>
      <w:r>
        <w:rPr>
          <w:rFonts w:cstheme="minorBidi"/>
        </w:rPr>
        <w:t>, indicating GP partners are investing in their practices but facing increasing cost pressures in doing so.</w:t>
      </w:r>
    </w:p>
    <w:p w14:paraId="4EC550B2" w14:textId="77777777" w:rsidR="007C35CE" w:rsidRDefault="007C35CE" w:rsidP="007C35CE">
      <w:pPr>
        <w:suppressAutoHyphens/>
        <w:autoSpaceDN w:val="0"/>
        <w:ind w:left="720"/>
        <w:jc w:val="both"/>
        <w:textAlignment w:val="baseline"/>
        <w:rPr>
          <w:rFonts w:cstheme="minorBidi"/>
        </w:rPr>
      </w:pPr>
    </w:p>
    <w:p w14:paraId="02B5A1E5" w14:textId="77777777" w:rsidR="007C35CE" w:rsidRPr="00E56224" w:rsidRDefault="007C35CE" w:rsidP="007C35CE">
      <w:pPr>
        <w:suppressAutoHyphens/>
        <w:autoSpaceDN w:val="0"/>
        <w:ind w:left="720"/>
        <w:jc w:val="both"/>
        <w:textAlignment w:val="baseline"/>
        <w:rPr>
          <w:rFonts w:cstheme="minorBidi"/>
          <w:b/>
        </w:rPr>
      </w:pPr>
      <w:r>
        <w:rPr>
          <w:rFonts w:cstheme="minorBidi"/>
          <w:b/>
        </w:rPr>
        <w:t>UK figures, before tax when relevant</w:t>
      </w:r>
    </w:p>
    <w:p w14:paraId="0D1090E2" w14:textId="77777777" w:rsidR="007C35CE" w:rsidRDefault="007C35CE" w:rsidP="007C35CE">
      <w:pPr>
        <w:suppressAutoHyphens/>
        <w:autoSpaceDN w:val="0"/>
        <w:jc w:val="both"/>
        <w:textAlignment w:val="baseline"/>
        <w:rPr>
          <w:rFonts w:cstheme="minorBidi"/>
        </w:rPr>
      </w:pPr>
    </w:p>
    <w:p w14:paraId="4F92D48B" w14:textId="77777777" w:rsidR="007C35CE" w:rsidRDefault="007C35CE" w:rsidP="007C35CE">
      <w:pPr>
        <w:pStyle w:val="ListParagraph"/>
        <w:numPr>
          <w:ilvl w:val="0"/>
          <w:numId w:val="40"/>
        </w:numPr>
        <w:suppressAutoHyphens/>
        <w:autoSpaceDN w:val="0"/>
        <w:jc w:val="both"/>
        <w:textAlignment w:val="baseline"/>
        <w:rPr>
          <w:rFonts w:cstheme="minorBidi"/>
        </w:rPr>
      </w:pPr>
      <w:r w:rsidRPr="00E56224">
        <w:rPr>
          <w:rFonts w:cstheme="minorBidi"/>
        </w:rPr>
        <w:t>The average GMS Contractor income before tax was £103,700 compared with £111,500 for a PMS Contractor.  The earnings/expenses ratio for PMS contractors is also higher, being 64.9% (</w:t>
      </w:r>
      <w:r>
        <w:rPr>
          <w:rFonts w:cstheme="minorBidi"/>
        </w:rPr>
        <w:sym w:font="Wingdings" w:char="F0E1"/>
      </w:r>
      <w:r w:rsidRPr="00E56224">
        <w:rPr>
          <w:rFonts w:cstheme="minorBidi"/>
        </w:rPr>
        <w:t xml:space="preserve"> 1.3%) for GMS and 68.6% (</w:t>
      </w:r>
      <w:r>
        <w:rPr>
          <w:rFonts w:cstheme="minorBidi"/>
        </w:rPr>
        <w:sym w:font="Wingdings" w:char="F0E1"/>
      </w:r>
      <w:r w:rsidRPr="00E56224">
        <w:rPr>
          <w:rFonts w:cstheme="minorBidi"/>
        </w:rPr>
        <w:t xml:space="preserve"> 0.9%) for PMS Contractors </w:t>
      </w:r>
    </w:p>
    <w:p w14:paraId="4EF0A9EF" w14:textId="77777777" w:rsidR="007C35CE" w:rsidRPr="00E56224" w:rsidRDefault="007C35CE" w:rsidP="007C35CE">
      <w:pPr>
        <w:pStyle w:val="ListParagraph"/>
        <w:suppressAutoHyphens/>
        <w:autoSpaceDN w:val="0"/>
        <w:jc w:val="both"/>
        <w:textAlignment w:val="baseline"/>
        <w:rPr>
          <w:rFonts w:cstheme="minorBidi"/>
        </w:rPr>
      </w:pPr>
    </w:p>
    <w:p w14:paraId="01B41164" w14:textId="77777777" w:rsidR="007C35CE" w:rsidRDefault="007C35CE" w:rsidP="007C35CE">
      <w:pPr>
        <w:pStyle w:val="ListParagraph"/>
        <w:numPr>
          <w:ilvl w:val="0"/>
          <w:numId w:val="40"/>
        </w:numPr>
        <w:suppressAutoHyphens/>
        <w:autoSpaceDN w:val="0"/>
        <w:jc w:val="both"/>
        <w:textAlignment w:val="baseline"/>
        <w:rPr>
          <w:rFonts w:cstheme="minorBidi"/>
        </w:rPr>
      </w:pPr>
      <w:r>
        <w:rPr>
          <w:rFonts w:cstheme="minorBidi"/>
        </w:rPr>
        <w:t>The NHS superannuable proportion was 94% in 2014/15, the latest year such pension information is available</w:t>
      </w:r>
    </w:p>
    <w:p w14:paraId="740BDB74" w14:textId="77777777" w:rsidR="007C35CE" w:rsidRPr="00B9684A" w:rsidRDefault="007C35CE" w:rsidP="007C35CE">
      <w:pPr>
        <w:pStyle w:val="ListParagraph"/>
        <w:rPr>
          <w:rFonts w:cstheme="minorBidi"/>
        </w:rPr>
      </w:pPr>
    </w:p>
    <w:p w14:paraId="05EEDED8" w14:textId="77777777" w:rsidR="007C35CE" w:rsidRDefault="007C35CE" w:rsidP="007C35CE">
      <w:pPr>
        <w:pStyle w:val="ListParagraph"/>
        <w:numPr>
          <w:ilvl w:val="0"/>
          <w:numId w:val="40"/>
        </w:numPr>
        <w:suppressAutoHyphens/>
        <w:autoSpaceDN w:val="0"/>
        <w:jc w:val="both"/>
        <w:textAlignment w:val="baseline"/>
        <w:rPr>
          <w:rFonts w:cstheme="minorBidi"/>
        </w:rPr>
      </w:pPr>
      <w:r>
        <w:rPr>
          <w:rFonts w:cstheme="minorBidi"/>
        </w:rPr>
        <w:t>There has been a statistically significant increase in GMS/PMS non-dispensing practice income [4.5%] compared with GMS/PMS dispensing practice income [2%]</w:t>
      </w:r>
    </w:p>
    <w:p w14:paraId="37E7A5AA" w14:textId="77777777" w:rsidR="007C35CE" w:rsidRPr="00B9684A" w:rsidRDefault="007C35CE" w:rsidP="007C35CE">
      <w:pPr>
        <w:pStyle w:val="ListParagraph"/>
        <w:rPr>
          <w:rFonts w:cstheme="minorBidi"/>
        </w:rPr>
      </w:pPr>
    </w:p>
    <w:p w14:paraId="4CCB3024" w14:textId="77777777" w:rsidR="007C35CE" w:rsidRDefault="007C35CE" w:rsidP="007C35CE">
      <w:pPr>
        <w:pStyle w:val="ListParagraph"/>
        <w:numPr>
          <w:ilvl w:val="0"/>
          <w:numId w:val="40"/>
        </w:numPr>
        <w:suppressAutoHyphens/>
        <w:autoSpaceDN w:val="0"/>
        <w:jc w:val="both"/>
        <w:textAlignment w:val="baseline"/>
        <w:rPr>
          <w:rFonts w:cstheme="minorBidi"/>
        </w:rPr>
      </w:pPr>
      <w:r>
        <w:rPr>
          <w:rFonts w:cstheme="minorBidi"/>
        </w:rPr>
        <w:t>GMS/PMS contractor income remains the highest in England, compared with the devolved nations.</w:t>
      </w:r>
    </w:p>
    <w:p w14:paraId="2A02B690" w14:textId="77777777" w:rsidR="007C35CE" w:rsidRPr="00E56224" w:rsidRDefault="007C35CE" w:rsidP="007C35CE">
      <w:pPr>
        <w:pStyle w:val="ListParagraph"/>
        <w:rPr>
          <w:rFonts w:cstheme="minorBidi"/>
        </w:rPr>
      </w:pPr>
    </w:p>
    <w:p w14:paraId="452271DA" w14:textId="77777777" w:rsidR="007C35CE" w:rsidRPr="00E56224" w:rsidRDefault="007C35CE" w:rsidP="007C35CE">
      <w:pPr>
        <w:pStyle w:val="ListParagraph"/>
        <w:numPr>
          <w:ilvl w:val="0"/>
          <w:numId w:val="40"/>
        </w:numPr>
        <w:suppressAutoHyphens/>
        <w:autoSpaceDN w:val="0"/>
        <w:jc w:val="both"/>
        <w:textAlignment w:val="baseline"/>
        <w:rPr>
          <w:rFonts w:cstheme="minorBidi"/>
        </w:rPr>
      </w:pPr>
      <w:r w:rsidRPr="00E56224">
        <w:rPr>
          <w:rFonts w:cstheme="minorBidi"/>
        </w:rPr>
        <w:t>60.5% of salaried GPs had employment only income, a % which has risen steadily from 48.5% in 2012/13, suggesting the proportion of salaried GPs who have employment income only is rising significantly.</w:t>
      </w:r>
    </w:p>
    <w:p w14:paraId="5576933B" w14:textId="77777777" w:rsidR="007C35CE" w:rsidRDefault="007C35CE" w:rsidP="007C35CE">
      <w:pPr>
        <w:suppressAutoHyphens/>
        <w:autoSpaceDN w:val="0"/>
        <w:jc w:val="both"/>
        <w:textAlignment w:val="baseline"/>
        <w:rPr>
          <w:rFonts w:cstheme="minorBidi"/>
        </w:rPr>
      </w:pPr>
    </w:p>
    <w:p w14:paraId="40FB32DF" w14:textId="77777777" w:rsidR="007C35CE" w:rsidRDefault="007C35CE" w:rsidP="007C35CE">
      <w:pPr>
        <w:pStyle w:val="ListParagraph"/>
        <w:numPr>
          <w:ilvl w:val="0"/>
          <w:numId w:val="40"/>
        </w:numPr>
        <w:suppressAutoHyphens/>
        <w:autoSpaceDN w:val="0"/>
        <w:jc w:val="both"/>
        <w:textAlignment w:val="baseline"/>
        <w:rPr>
          <w:rFonts w:cstheme="minorBidi"/>
        </w:rPr>
      </w:pPr>
      <w:r>
        <w:rPr>
          <w:rFonts w:cstheme="minorBidi"/>
        </w:rPr>
        <w:t>For the first time since 2012/13 rural GP income before tax has fallen slightly below that of practices clarified as urban [UK figures] although this is also affected by the proportion of GMS/PMS practices which are dispensing [41.4$ rural practices and 6.3% in urban] although there has been a significant fall in rural dispensing practices, from 55.5% in 2011/12</w:t>
      </w:r>
    </w:p>
    <w:p w14:paraId="7FDB7930" w14:textId="77777777" w:rsidR="007C35CE" w:rsidRDefault="007C35CE" w:rsidP="007C35CE">
      <w:pPr>
        <w:suppressAutoHyphens/>
        <w:autoSpaceDN w:val="0"/>
        <w:ind w:left="360"/>
        <w:jc w:val="both"/>
        <w:textAlignment w:val="baseline"/>
        <w:rPr>
          <w:rFonts w:cstheme="minorBidi"/>
        </w:rPr>
      </w:pPr>
    </w:p>
    <w:p w14:paraId="21C52106" w14:textId="77777777" w:rsidR="007C35CE" w:rsidRDefault="007C35CE" w:rsidP="007C35CE">
      <w:pPr>
        <w:pStyle w:val="ListParagraph"/>
        <w:numPr>
          <w:ilvl w:val="0"/>
          <w:numId w:val="40"/>
        </w:numPr>
        <w:suppressAutoHyphens/>
        <w:autoSpaceDN w:val="0"/>
        <w:jc w:val="both"/>
        <w:textAlignment w:val="baseline"/>
        <w:rPr>
          <w:rFonts w:cstheme="minorBidi"/>
        </w:rPr>
      </w:pPr>
      <w:r>
        <w:rPr>
          <w:rFonts w:cstheme="minorBidi"/>
        </w:rPr>
        <w:t>For the first year, earnings in relation to list size information is available, as below:</w:t>
      </w:r>
    </w:p>
    <w:p w14:paraId="22909CF4" w14:textId="77777777" w:rsidR="007C35CE" w:rsidRDefault="007C35CE" w:rsidP="007C35CE">
      <w:pPr>
        <w:pStyle w:val="ListParagraph"/>
        <w:rPr>
          <w:rFonts w:cstheme="minorBidi"/>
        </w:rPr>
      </w:pPr>
    </w:p>
    <w:p w14:paraId="20E1F1D8" w14:textId="77777777" w:rsidR="007C35CE" w:rsidRDefault="007C35CE" w:rsidP="007C35CE">
      <w:pPr>
        <w:pStyle w:val="ListParagraph"/>
        <w:rPr>
          <w:rFonts w:cstheme="minorBidi"/>
        </w:rPr>
      </w:pPr>
      <w:r>
        <w:rPr>
          <w:noProof/>
        </w:rPr>
        <w:drawing>
          <wp:inline distT="0" distB="0" distL="0" distR="0" wp14:anchorId="03DDCCB1" wp14:editId="6F024E35">
            <wp:extent cx="5470525" cy="1677670"/>
            <wp:effectExtent l="0" t="0" r="0" b="0"/>
            <wp:docPr id="6" name="Picture 6" descr="cid:image001.png@01D4449C.04505EF0"/>
            <wp:cNvGraphicFramePr/>
            <a:graphic xmlns:a="http://schemas.openxmlformats.org/drawingml/2006/main">
              <a:graphicData uri="http://schemas.openxmlformats.org/drawingml/2006/picture">
                <pic:pic xmlns:pic="http://schemas.openxmlformats.org/drawingml/2006/picture">
                  <pic:nvPicPr>
                    <pic:cNvPr id="6" name="Picture 6" descr="cid:image001.png@01D4449C.04505EF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70525" cy="1677670"/>
                    </a:xfrm>
                    <a:prstGeom prst="rect">
                      <a:avLst/>
                    </a:prstGeom>
                    <a:noFill/>
                    <a:ln>
                      <a:noFill/>
                    </a:ln>
                  </pic:spPr>
                </pic:pic>
              </a:graphicData>
            </a:graphic>
          </wp:inline>
        </w:drawing>
      </w:r>
    </w:p>
    <w:p w14:paraId="17079D99" w14:textId="77777777" w:rsidR="007C35CE" w:rsidRPr="00AB1222" w:rsidRDefault="007C35CE" w:rsidP="007C35CE">
      <w:pPr>
        <w:pStyle w:val="ListParagraph"/>
        <w:rPr>
          <w:rFonts w:cstheme="minorBidi"/>
        </w:rPr>
      </w:pPr>
    </w:p>
    <w:p w14:paraId="1A35BDEB" w14:textId="77777777" w:rsidR="007C35CE" w:rsidRDefault="007C35CE" w:rsidP="007C35CE">
      <w:pPr>
        <w:pStyle w:val="ListParagraph"/>
        <w:numPr>
          <w:ilvl w:val="0"/>
          <w:numId w:val="40"/>
        </w:numPr>
        <w:suppressAutoHyphens/>
        <w:autoSpaceDN w:val="0"/>
        <w:jc w:val="both"/>
        <w:textAlignment w:val="baseline"/>
        <w:rPr>
          <w:rFonts w:cstheme="minorBidi"/>
        </w:rPr>
      </w:pPr>
      <w:r w:rsidRPr="00E56224">
        <w:rPr>
          <w:rFonts w:cstheme="minorBidi"/>
        </w:rPr>
        <w:lastRenderedPageBreak/>
        <w:t>There is no correlation between salaried GPs income and the size of their practices registered patient list; however, there is a significant correlation between list size and the proportion of GP contract</w:t>
      </w:r>
      <w:r>
        <w:rPr>
          <w:rFonts w:cstheme="minorBidi"/>
        </w:rPr>
        <w:t>or</w:t>
      </w:r>
      <w:r w:rsidRPr="00E56224">
        <w:rPr>
          <w:rFonts w:cstheme="minorBidi"/>
        </w:rPr>
        <w:t xml:space="preserve">s to salaried GPs, as below: </w:t>
      </w:r>
    </w:p>
    <w:p w14:paraId="1AC390DA" w14:textId="77777777" w:rsidR="007C35CE" w:rsidRDefault="007C35CE" w:rsidP="007C35CE"/>
    <w:p w14:paraId="5B98C2AD" w14:textId="77777777" w:rsidR="007C35CE" w:rsidRDefault="007C35CE" w:rsidP="007C35CE">
      <w:pPr>
        <w:spacing w:line="242" w:lineRule="auto"/>
        <w:ind w:right="16" w:hanging="10"/>
        <w:rPr>
          <w:rFonts w:ascii="Calibri" w:hAnsi="Calibri"/>
          <w:sz w:val="22"/>
          <w:szCs w:val="22"/>
          <w:lang w:eastAsia="en-GB"/>
        </w:rPr>
      </w:pPr>
      <w:r>
        <w:rPr>
          <w:rFonts w:ascii="Arial" w:hAnsi="Arial" w:cs="Arial"/>
          <w:b/>
          <w:bCs/>
        </w:rPr>
        <w:t xml:space="preserve">Table 4.20: Count of practices and contractor to salaried GP ratio in each </w:t>
      </w:r>
      <w:r>
        <w:rPr>
          <w:rFonts w:ascii="Arial" w:hAnsi="Arial" w:cs="Arial"/>
          <w:b/>
          <w:bCs/>
          <w:u w:val="single"/>
        </w:rPr>
        <w:t>practice registered patient list size band, UK</w:t>
      </w:r>
      <w:r>
        <w:rPr>
          <w:rFonts w:ascii="Arial" w:hAnsi="Arial" w:cs="Arial"/>
          <w:b/>
          <w:bCs/>
        </w:rPr>
        <w:t xml:space="preserve">, 2016/17 </w:t>
      </w:r>
    </w:p>
    <w:p w14:paraId="0E714BA1" w14:textId="77777777" w:rsidR="007C35CE" w:rsidRDefault="007C35CE" w:rsidP="007C35CE">
      <w:pPr>
        <w:spacing w:after="102"/>
        <w:ind w:right="222"/>
        <w:jc w:val="center"/>
      </w:pPr>
      <w:r>
        <w:rPr>
          <w:rFonts w:ascii="Arial" w:hAnsi="Arial" w:cs="Arial"/>
          <w:b/>
          <w:bCs/>
          <w:sz w:val="19"/>
          <w:szCs w:val="19"/>
        </w:rPr>
        <w:t xml:space="preserve">Contractor </w:t>
      </w:r>
    </w:p>
    <w:p w14:paraId="2B6F1EBB" w14:textId="77777777" w:rsidR="007C35CE" w:rsidRDefault="007C35CE" w:rsidP="007C35CE">
      <w:pPr>
        <w:spacing w:line="300" w:lineRule="auto"/>
        <w:ind w:left="2955" w:right="3316" w:hanging="2910"/>
      </w:pPr>
      <w:r>
        <w:rPr>
          <w:rFonts w:ascii="Arial" w:hAnsi="Arial" w:cs="Arial"/>
          <w:b/>
          <w:bCs/>
          <w:sz w:val="19"/>
          <w:szCs w:val="19"/>
        </w:rPr>
        <w:t xml:space="preserve">Practice Patient List Size           </w:t>
      </w:r>
      <w:r>
        <w:rPr>
          <w:rFonts w:ascii="Arial" w:hAnsi="Arial" w:cs="Arial"/>
          <w:b/>
          <w:bCs/>
          <w:sz w:val="30"/>
          <w:szCs w:val="30"/>
          <w:vertAlign w:val="superscript"/>
        </w:rPr>
        <w:t xml:space="preserve">Count of </w:t>
      </w:r>
      <w:proofErr w:type="spellStart"/>
      <w:r>
        <w:rPr>
          <w:rFonts w:ascii="Arial" w:hAnsi="Arial" w:cs="Arial"/>
          <w:b/>
          <w:bCs/>
          <w:sz w:val="19"/>
          <w:szCs w:val="19"/>
        </w:rPr>
        <w:t>to</w:t>
      </w:r>
      <w:proofErr w:type="spellEnd"/>
      <w:r>
        <w:rPr>
          <w:rFonts w:ascii="Arial" w:hAnsi="Arial" w:cs="Arial"/>
          <w:b/>
          <w:bCs/>
          <w:sz w:val="19"/>
          <w:szCs w:val="19"/>
        </w:rPr>
        <w:t xml:space="preserve"> salaried practices GP ratio</w:t>
      </w:r>
    </w:p>
    <w:p w14:paraId="60FAAB19" w14:textId="77777777" w:rsidR="007C35CE" w:rsidRDefault="007C35CE" w:rsidP="007C35CE">
      <w:pPr>
        <w:spacing w:after="34"/>
      </w:pPr>
      <w:r>
        <w:rPr>
          <w:noProof/>
        </w:rPr>
        <w:drawing>
          <wp:inline distT="0" distB="0" distL="0" distR="0" wp14:anchorId="467F3207" wp14:editId="18AF0A3E">
            <wp:extent cx="3212465" cy="15875"/>
            <wp:effectExtent l="0" t="0" r="0" b="0"/>
            <wp:docPr id="4" name="Picture 4" descr="cid:image001.png@01D4449D.447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 descr="cid:image001.png@01D4449D.447501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12465" cy="15875"/>
                    </a:xfrm>
                    <a:prstGeom prst="rect">
                      <a:avLst/>
                    </a:prstGeom>
                    <a:noFill/>
                    <a:ln>
                      <a:noFill/>
                    </a:ln>
                  </pic:spPr>
                </pic:pic>
              </a:graphicData>
            </a:graphic>
          </wp:inline>
        </w:drawing>
      </w:r>
    </w:p>
    <w:p w14:paraId="0B82BCA5" w14:textId="77777777" w:rsidR="007C35CE" w:rsidRDefault="007C35CE" w:rsidP="007C35CE">
      <w:r>
        <w:rPr>
          <w:rFonts w:ascii="Arial" w:hAnsi="Arial" w:cs="Arial"/>
          <w:b/>
          <w:bCs/>
          <w:sz w:val="19"/>
          <w:szCs w:val="19"/>
        </w:rPr>
        <w:t xml:space="preserve">Fewer than 5,000                     </w:t>
      </w:r>
      <w:r>
        <w:rPr>
          <w:rFonts w:ascii="Arial" w:hAnsi="Arial" w:cs="Arial"/>
          <w:sz w:val="19"/>
          <w:szCs w:val="19"/>
        </w:rPr>
        <w:t>         2,314                 3.4</w:t>
      </w:r>
    </w:p>
    <w:p w14:paraId="318BC243" w14:textId="77777777" w:rsidR="007C35CE" w:rsidRDefault="007C35CE" w:rsidP="007C35CE">
      <w:r>
        <w:rPr>
          <w:rFonts w:ascii="Arial" w:hAnsi="Arial" w:cs="Arial"/>
          <w:b/>
          <w:bCs/>
          <w:sz w:val="19"/>
          <w:szCs w:val="19"/>
        </w:rPr>
        <w:t xml:space="preserve">5,000 to fewer than 10,000       </w:t>
      </w:r>
      <w:r>
        <w:rPr>
          <w:rFonts w:ascii="Arial" w:hAnsi="Arial" w:cs="Arial"/>
          <w:sz w:val="19"/>
          <w:szCs w:val="19"/>
        </w:rPr>
        <w:t>        3,179                 3.1</w:t>
      </w:r>
    </w:p>
    <w:p w14:paraId="59A84048" w14:textId="77777777" w:rsidR="007C35CE" w:rsidRDefault="007C35CE" w:rsidP="007C35CE">
      <w:r>
        <w:rPr>
          <w:rFonts w:ascii="Arial" w:hAnsi="Arial" w:cs="Arial"/>
          <w:b/>
          <w:bCs/>
          <w:sz w:val="19"/>
          <w:szCs w:val="19"/>
        </w:rPr>
        <w:t xml:space="preserve">10,000 to fewer than 15,000      </w:t>
      </w:r>
      <w:r>
        <w:rPr>
          <w:rFonts w:ascii="Arial" w:hAnsi="Arial" w:cs="Arial"/>
          <w:sz w:val="19"/>
          <w:szCs w:val="19"/>
        </w:rPr>
        <w:t>       1,477                 2.5</w:t>
      </w:r>
    </w:p>
    <w:p w14:paraId="26B6EFFC" w14:textId="77777777" w:rsidR="007C35CE" w:rsidRDefault="007C35CE" w:rsidP="007C35CE">
      <w:r>
        <w:rPr>
          <w:rFonts w:ascii="Arial" w:hAnsi="Arial" w:cs="Arial"/>
          <w:b/>
          <w:bCs/>
          <w:sz w:val="19"/>
          <w:szCs w:val="19"/>
        </w:rPr>
        <w:t xml:space="preserve">15,000 to fewer than 20,000      </w:t>
      </w:r>
      <w:r>
        <w:rPr>
          <w:rFonts w:ascii="Arial" w:hAnsi="Arial" w:cs="Arial"/>
          <w:sz w:val="19"/>
          <w:szCs w:val="19"/>
        </w:rPr>
        <w:t>          334                 2.3</w:t>
      </w:r>
    </w:p>
    <w:p w14:paraId="53216A9E" w14:textId="77777777" w:rsidR="007C35CE" w:rsidRDefault="007C35CE" w:rsidP="007C35CE">
      <w:r>
        <w:rPr>
          <w:rFonts w:ascii="Arial" w:hAnsi="Arial" w:cs="Arial"/>
          <w:b/>
          <w:bCs/>
          <w:sz w:val="19"/>
          <w:szCs w:val="19"/>
          <w:u w:val="single"/>
        </w:rPr>
        <w:t xml:space="preserve">20,000 and over                       </w:t>
      </w:r>
      <w:r>
        <w:rPr>
          <w:rFonts w:ascii="Arial" w:hAnsi="Arial" w:cs="Arial"/>
          <w:sz w:val="19"/>
          <w:szCs w:val="19"/>
        </w:rPr>
        <w:t xml:space="preserve">            102                 </w:t>
      </w:r>
      <w:r>
        <w:rPr>
          <w:rFonts w:ascii="Arial" w:hAnsi="Arial" w:cs="Arial"/>
          <w:sz w:val="19"/>
          <w:szCs w:val="19"/>
          <w:u w:val="single"/>
        </w:rPr>
        <w:t>1.6</w:t>
      </w:r>
    </w:p>
    <w:p w14:paraId="44040198" w14:textId="77777777" w:rsidR="007C35CE" w:rsidRDefault="007C35CE" w:rsidP="007C35CE"/>
    <w:p w14:paraId="3798A619" w14:textId="77777777" w:rsidR="007C35CE" w:rsidRDefault="007C35CE" w:rsidP="007C35CE">
      <w:r>
        <w:t>Over time UK GMS/PMS earnings and expenses have changed as below:</w:t>
      </w:r>
    </w:p>
    <w:p w14:paraId="7628CF51" w14:textId="77777777" w:rsidR="007C35CE" w:rsidRDefault="007C35CE" w:rsidP="007C35CE"/>
    <w:p w14:paraId="16A64626" w14:textId="77777777" w:rsidR="007C35CE" w:rsidRDefault="007C35CE" w:rsidP="007C35CE">
      <w:r>
        <w:rPr>
          <w:noProof/>
        </w:rPr>
        <w:drawing>
          <wp:inline distT="0" distB="0" distL="0" distR="0" wp14:anchorId="0E289BE2" wp14:editId="46F0D8C9">
            <wp:extent cx="5398770" cy="3013710"/>
            <wp:effectExtent l="0" t="0" r="0" b="0"/>
            <wp:docPr id="5" name="Picture 5" descr="cid:image001.jpg@01D4449D.C06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9" descr="cid:image001.jpg@01D4449D.C06007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98770" cy="3013710"/>
                    </a:xfrm>
                    <a:prstGeom prst="rect">
                      <a:avLst/>
                    </a:prstGeom>
                    <a:noFill/>
                    <a:ln>
                      <a:noFill/>
                    </a:ln>
                  </pic:spPr>
                </pic:pic>
              </a:graphicData>
            </a:graphic>
          </wp:inline>
        </w:drawing>
      </w:r>
    </w:p>
    <w:p w14:paraId="19B986A7" w14:textId="77777777" w:rsidR="00375DB4" w:rsidRDefault="00375DB4" w:rsidP="007C0855"/>
    <w:p w14:paraId="17975B5D" w14:textId="77777777" w:rsidR="007C0855" w:rsidRDefault="007C0855" w:rsidP="007C0855">
      <w:pPr>
        <w:pStyle w:val="ListParagraph"/>
        <w:numPr>
          <w:ilvl w:val="0"/>
          <w:numId w:val="32"/>
        </w:numPr>
        <w:rPr>
          <w:b/>
        </w:rPr>
      </w:pPr>
      <w:r w:rsidRPr="001D53E2">
        <w:rPr>
          <w:b/>
        </w:rPr>
        <w:t xml:space="preserve">Trends in General Practice to 2017 </w:t>
      </w:r>
    </w:p>
    <w:p w14:paraId="2498ABAB" w14:textId="77777777" w:rsidR="007C0855" w:rsidRPr="001D53E2" w:rsidRDefault="007C0855" w:rsidP="007C0855">
      <w:pPr>
        <w:pStyle w:val="ListParagraph"/>
        <w:ind w:left="360"/>
        <w:rPr>
          <w:b/>
        </w:rPr>
      </w:pPr>
    </w:p>
    <w:p w14:paraId="0FFE9165" w14:textId="77777777" w:rsidR="007C0855" w:rsidRDefault="007C0855" w:rsidP="007C0855">
      <w:pPr>
        <w:jc w:val="both"/>
      </w:pPr>
      <w:r>
        <w:t>NHS Digital has published a further description of General Practice trends, this time to 2017, as part of the on-going work of the Technical Steering Committee, which includes representation from the DHSC, NHS England, NHS Digital and the BMA.  It plays an influential role in professional contract negotiations.  The full publication is available at:</w:t>
      </w:r>
    </w:p>
    <w:p w14:paraId="341C941A" w14:textId="77777777" w:rsidR="007C0855" w:rsidRPr="000860CF" w:rsidRDefault="007C0855" w:rsidP="007C0855">
      <w:pPr>
        <w:rPr>
          <w:rFonts w:ascii="Calibri" w:hAnsi="Calibri"/>
        </w:rPr>
      </w:pPr>
      <w:r>
        <w:t xml:space="preserve"> </w:t>
      </w:r>
      <w:hyperlink r:id="rId14" w:history="1">
        <w:r w:rsidRPr="000860CF">
          <w:rPr>
            <w:rStyle w:val="Hyperlink"/>
          </w:rPr>
          <w:t>https://digital.nhs.uk/data-and-information/publications/statistical/general-practice-trends-in-the-uk/general-practice-trends-in-the-uk-2017</w:t>
        </w:r>
      </w:hyperlink>
    </w:p>
    <w:p w14:paraId="476A7D11" w14:textId="77777777" w:rsidR="007C0855" w:rsidRDefault="007C0855" w:rsidP="007C0855"/>
    <w:p w14:paraId="5B4CC3ED" w14:textId="77777777" w:rsidR="007C0855" w:rsidRDefault="007C0855" w:rsidP="007C0855">
      <w:pPr>
        <w:jc w:val="both"/>
      </w:pPr>
      <w:r>
        <w:t xml:space="preserve">Highlights of the report include: </w:t>
      </w:r>
    </w:p>
    <w:p w14:paraId="2B053144" w14:textId="77777777" w:rsidR="007C0855" w:rsidRDefault="007C0855" w:rsidP="007C0855">
      <w:pPr>
        <w:jc w:val="both"/>
      </w:pPr>
    </w:p>
    <w:p w14:paraId="013FD333" w14:textId="77777777" w:rsidR="007C0855" w:rsidRDefault="007C0855" w:rsidP="007C0855">
      <w:pPr>
        <w:pStyle w:val="ListParagraph"/>
        <w:numPr>
          <w:ilvl w:val="0"/>
          <w:numId w:val="38"/>
        </w:numPr>
        <w:jc w:val="both"/>
      </w:pPr>
      <w:r>
        <w:t>The number of GP practices in England continues to decline, falling to 7361 (7527 in 2016 and 8261 in 2007)</w:t>
      </w:r>
    </w:p>
    <w:p w14:paraId="089608AC" w14:textId="77777777" w:rsidR="007C0855" w:rsidRDefault="007C0855" w:rsidP="007C0855">
      <w:pPr>
        <w:pStyle w:val="ListParagraph"/>
        <w:jc w:val="both"/>
      </w:pPr>
    </w:p>
    <w:p w14:paraId="7ED76A5A" w14:textId="77777777" w:rsidR="007C0855" w:rsidRDefault="007C0855" w:rsidP="007C0855">
      <w:pPr>
        <w:pStyle w:val="ListParagraph"/>
        <w:numPr>
          <w:ilvl w:val="0"/>
          <w:numId w:val="38"/>
        </w:numPr>
        <w:jc w:val="both"/>
      </w:pPr>
      <w:r>
        <w:t>The number of GP contractors is also declining, although this does not translate into an FTE headcount.  There were 22919 in 2017 (23937 in 2016 and 27342 in 2007).</w:t>
      </w:r>
    </w:p>
    <w:p w14:paraId="2917E90F" w14:textId="77777777" w:rsidR="007C0855" w:rsidRDefault="007C0855" w:rsidP="007C0855">
      <w:pPr>
        <w:pStyle w:val="ListParagraph"/>
        <w:jc w:val="both"/>
      </w:pPr>
    </w:p>
    <w:p w14:paraId="1554A4F7" w14:textId="77777777" w:rsidR="007C0855" w:rsidRDefault="007C0855" w:rsidP="007C0855">
      <w:pPr>
        <w:pStyle w:val="ListParagraph"/>
        <w:numPr>
          <w:ilvl w:val="0"/>
          <w:numId w:val="38"/>
        </w:numPr>
        <w:jc w:val="both"/>
      </w:pPr>
      <w:r>
        <w:t xml:space="preserve">The number of “other GPs” has risen to 11497 in 2017 (10988 in 2016 and 6022 in 2007).  These figures exclude registrars, retainers and locums. </w:t>
      </w:r>
    </w:p>
    <w:p w14:paraId="6B495A44" w14:textId="77777777" w:rsidR="007C0855" w:rsidRDefault="007C0855" w:rsidP="007C0855">
      <w:pPr>
        <w:pStyle w:val="ListParagraph"/>
        <w:jc w:val="both"/>
      </w:pPr>
      <w:r>
        <w:t xml:space="preserve"> </w:t>
      </w:r>
    </w:p>
    <w:p w14:paraId="7818C7EE" w14:textId="77777777" w:rsidR="007C0855" w:rsidRDefault="007C0855" w:rsidP="007C0855">
      <w:pPr>
        <w:pStyle w:val="ListParagraph"/>
        <w:numPr>
          <w:ilvl w:val="0"/>
          <w:numId w:val="38"/>
        </w:numPr>
        <w:jc w:val="both"/>
      </w:pPr>
      <w:r>
        <w:t>The England registered GP practice population has risen from 53588 in 2007 to 58675 in 2017</w:t>
      </w:r>
    </w:p>
    <w:p w14:paraId="69BADE95" w14:textId="77777777" w:rsidR="007C0855" w:rsidRDefault="007C0855" w:rsidP="007C0855">
      <w:pPr>
        <w:jc w:val="both"/>
      </w:pPr>
    </w:p>
    <w:p w14:paraId="40F9F456" w14:textId="77777777" w:rsidR="007C0855" w:rsidRDefault="007C0855" w:rsidP="007C0855">
      <w:pPr>
        <w:pStyle w:val="ListParagraph"/>
        <w:numPr>
          <w:ilvl w:val="0"/>
          <w:numId w:val="38"/>
        </w:numPr>
        <w:jc w:val="both"/>
      </w:pPr>
      <w:r>
        <w:t>The average patient list per practice has risen from 6847 in 2007 to 7971 in 2017.</w:t>
      </w:r>
    </w:p>
    <w:p w14:paraId="501F6AE5" w14:textId="77777777" w:rsidR="007C0855" w:rsidRDefault="007C0855" w:rsidP="007C0855">
      <w:pPr>
        <w:jc w:val="both"/>
      </w:pPr>
    </w:p>
    <w:p w14:paraId="6054C35B" w14:textId="77777777" w:rsidR="007C0855" w:rsidRDefault="007C0855" w:rsidP="007C0855">
      <w:pPr>
        <w:pStyle w:val="ListParagraph"/>
        <w:numPr>
          <w:ilvl w:val="0"/>
          <w:numId w:val="38"/>
        </w:numPr>
        <w:jc w:val="both"/>
      </w:pPr>
      <w:r>
        <w:t xml:space="preserve">The practice demographic has changed significantly over the past decade, as below: - </w:t>
      </w:r>
    </w:p>
    <w:p w14:paraId="2ED7770A" w14:textId="77777777" w:rsidR="007C0855" w:rsidRDefault="007C0855" w:rsidP="007C0855">
      <w:pPr>
        <w:rPr>
          <w:rFonts w:cstheme="minorHAnsi"/>
        </w:rPr>
      </w:pPr>
    </w:p>
    <w:tbl>
      <w:tblPr>
        <w:tblW w:w="9299" w:type="dxa"/>
        <w:tblCellMar>
          <w:left w:w="0" w:type="dxa"/>
          <w:right w:w="0" w:type="dxa"/>
        </w:tblCellMar>
        <w:tblLook w:val="04A0" w:firstRow="1" w:lastRow="0" w:firstColumn="1" w:lastColumn="0" w:noHBand="0" w:noVBand="1"/>
      </w:tblPr>
      <w:tblGrid>
        <w:gridCol w:w="1746"/>
        <w:gridCol w:w="796"/>
        <w:gridCol w:w="677"/>
        <w:gridCol w:w="663"/>
        <w:gridCol w:w="663"/>
        <w:gridCol w:w="663"/>
        <w:gridCol w:w="663"/>
        <w:gridCol w:w="663"/>
        <w:gridCol w:w="663"/>
        <w:gridCol w:w="663"/>
        <w:gridCol w:w="695"/>
        <w:gridCol w:w="751"/>
      </w:tblGrid>
      <w:tr w:rsidR="007C0855" w14:paraId="11280A41" w14:textId="77777777" w:rsidTr="00A067D6">
        <w:trPr>
          <w:trHeight w:val="271"/>
        </w:trPr>
        <w:tc>
          <w:tcPr>
            <w:tcW w:w="1746" w:type="dxa"/>
            <w:tcBorders>
              <w:top w:val="single" w:sz="4" w:space="0" w:color="auto"/>
              <w:left w:val="single" w:sz="4" w:space="0" w:color="auto"/>
              <w:bottom w:val="single" w:sz="8" w:space="0" w:color="auto"/>
              <w:right w:val="nil"/>
            </w:tcBorders>
            <w:noWrap/>
            <w:tcMar>
              <w:top w:w="0" w:type="dxa"/>
              <w:left w:w="108" w:type="dxa"/>
              <w:bottom w:w="0" w:type="dxa"/>
              <w:right w:w="108" w:type="dxa"/>
            </w:tcMar>
            <w:vAlign w:val="center"/>
            <w:hideMark/>
          </w:tcPr>
          <w:p w14:paraId="1AFE9393" w14:textId="77777777" w:rsidR="007C0855" w:rsidRPr="00010B50" w:rsidRDefault="007C0855" w:rsidP="00A067D6">
            <w:pPr>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Patient list size</w:t>
            </w:r>
          </w:p>
        </w:tc>
        <w:tc>
          <w:tcPr>
            <w:tcW w:w="796" w:type="dxa"/>
            <w:tcBorders>
              <w:top w:val="single" w:sz="4" w:space="0" w:color="auto"/>
            </w:tcBorders>
            <w:noWrap/>
            <w:tcMar>
              <w:top w:w="0" w:type="dxa"/>
              <w:left w:w="108" w:type="dxa"/>
              <w:bottom w:w="0" w:type="dxa"/>
              <w:right w:w="108" w:type="dxa"/>
            </w:tcMar>
            <w:vAlign w:val="bottom"/>
            <w:hideMark/>
          </w:tcPr>
          <w:p w14:paraId="3370392F" w14:textId="77777777" w:rsidR="007C0855" w:rsidRPr="00010B50" w:rsidRDefault="007C0855" w:rsidP="00A067D6">
            <w:pPr>
              <w:rPr>
                <w:rFonts w:asciiTheme="minorHAnsi" w:hAnsiTheme="minorHAnsi" w:cs="Arial"/>
                <w:color w:val="000000"/>
                <w:sz w:val="22"/>
                <w:szCs w:val="22"/>
                <w:lang w:eastAsia="en-GB"/>
              </w:rPr>
            </w:pPr>
          </w:p>
        </w:tc>
        <w:tc>
          <w:tcPr>
            <w:tcW w:w="677" w:type="dxa"/>
            <w:tcBorders>
              <w:top w:val="single" w:sz="4" w:space="0" w:color="auto"/>
            </w:tcBorders>
            <w:noWrap/>
            <w:tcMar>
              <w:top w:w="0" w:type="dxa"/>
              <w:left w:w="108" w:type="dxa"/>
              <w:bottom w:w="0" w:type="dxa"/>
              <w:right w:w="108" w:type="dxa"/>
            </w:tcMar>
            <w:vAlign w:val="bottom"/>
            <w:hideMark/>
          </w:tcPr>
          <w:p w14:paraId="734E7E30" w14:textId="77777777" w:rsidR="007C0855" w:rsidRPr="00010B50" w:rsidRDefault="007C0855" w:rsidP="00A067D6">
            <w:pPr>
              <w:rPr>
                <w:rFonts w:asciiTheme="minorHAnsi" w:hAnsiTheme="minorHAnsi"/>
                <w:sz w:val="22"/>
                <w:szCs w:val="22"/>
                <w:lang w:eastAsia="en-GB"/>
              </w:rPr>
            </w:pPr>
          </w:p>
        </w:tc>
        <w:tc>
          <w:tcPr>
            <w:tcW w:w="662" w:type="dxa"/>
            <w:tcBorders>
              <w:top w:val="single" w:sz="4" w:space="0" w:color="auto"/>
            </w:tcBorders>
            <w:noWrap/>
            <w:tcMar>
              <w:top w:w="0" w:type="dxa"/>
              <w:left w:w="108" w:type="dxa"/>
              <w:bottom w:w="0" w:type="dxa"/>
              <w:right w:w="108" w:type="dxa"/>
            </w:tcMar>
            <w:vAlign w:val="bottom"/>
            <w:hideMark/>
          </w:tcPr>
          <w:p w14:paraId="254BE788" w14:textId="77777777" w:rsidR="007C0855" w:rsidRPr="00010B50" w:rsidRDefault="007C0855" w:rsidP="00A067D6">
            <w:pPr>
              <w:rPr>
                <w:rFonts w:asciiTheme="minorHAnsi" w:hAnsiTheme="minorHAnsi"/>
                <w:sz w:val="22"/>
                <w:szCs w:val="22"/>
                <w:lang w:eastAsia="en-GB"/>
              </w:rPr>
            </w:pPr>
          </w:p>
        </w:tc>
        <w:tc>
          <w:tcPr>
            <w:tcW w:w="662" w:type="dxa"/>
            <w:tcBorders>
              <w:top w:val="single" w:sz="4" w:space="0" w:color="auto"/>
            </w:tcBorders>
            <w:noWrap/>
            <w:tcMar>
              <w:top w:w="0" w:type="dxa"/>
              <w:left w:w="108" w:type="dxa"/>
              <w:bottom w:w="0" w:type="dxa"/>
              <w:right w:w="108" w:type="dxa"/>
            </w:tcMar>
            <w:vAlign w:val="bottom"/>
            <w:hideMark/>
          </w:tcPr>
          <w:p w14:paraId="6BFE1C0D" w14:textId="77777777" w:rsidR="007C0855" w:rsidRPr="00010B50" w:rsidRDefault="007C0855" w:rsidP="00A067D6">
            <w:pPr>
              <w:rPr>
                <w:rFonts w:asciiTheme="minorHAnsi" w:hAnsiTheme="minorHAnsi"/>
                <w:sz w:val="22"/>
                <w:szCs w:val="22"/>
                <w:lang w:eastAsia="en-GB"/>
              </w:rPr>
            </w:pPr>
          </w:p>
        </w:tc>
        <w:tc>
          <w:tcPr>
            <w:tcW w:w="662" w:type="dxa"/>
            <w:tcBorders>
              <w:top w:val="single" w:sz="4" w:space="0" w:color="auto"/>
            </w:tcBorders>
            <w:noWrap/>
            <w:tcMar>
              <w:top w:w="0" w:type="dxa"/>
              <w:left w:w="108" w:type="dxa"/>
              <w:bottom w:w="0" w:type="dxa"/>
              <w:right w:w="108" w:type="dxa"/>
            </w:tcMar>
            <w:vAlign w:val="bottom"/>
            <w:hideMark/>
          </w:tcPr>
          <w:p w14:paraId="0E872226" w14:textId="77777777" w:rsidR="007C0855" w:rsidRPr="00010B50" w:rsidRDefault="007C0855" w:rsidP="00A067D6">
            <w:pPr>
              <w:rPr>
                <w:rFonts w:asciiTheme="minorHAnsi" w:hAnsiTheme="minorHAnsi"/>
                <w:sz w:val="22"/>
                <w:szCs w:val="22"/>
                <w:lang w:eastAsia="en-GB"/>
              </w:rPr>
            </w:pPr>
          </w:p>
        </w:tc>
        <w:tc>
          <w:tcPr>
            <w:tcW w:w="662" w:type="dxa"/>
            <w:tcBorders>
              <w:top w:val="single" w:sz="4" w:space="0" w:color="auto"/>
            </w:tcBorders>
            <w:noWrap/>
            <w:tcMar>
              <w:top w:w="0" w:type="dxa"/>
              <w:left w:w="108" w:type="dxa"/>
              <w:bottom w:w="0" w:type="dxa"/>
              <w:right w:w="108" w:type="dxa"/>
            </w:tcMar>
            <w:vAlign w:val="bottom"/>
            <w:hideMark/>
          </w:tcPr>
          <w:p w14:paraId="7135D65B" w14:textId="77777777" w:rsidR="007C0855" w:rsidRPr="00010B50" w:rsidRDefault="007C0855" w:rsidP="00A067D6">
            <w:pPr>
              <w:rPr>
                <w:rFonts w:asciiTheme="minorHAnsi" w:hAnsiTheme="minorHAnsi"/>
                <w:sz w:val="22"/>
                <w:szCs w:val="22"/>
                <w:lang w:eastAsia="en-GB"/>
              </w:rPr>
            </w:pPr>
          </w:p>
        </w:tc>
        <w:tc>
          <w:tcPr>
            <w:tcW w:w="662" w:type="dxa"/>
            <w:tcBorders>
              <w:top w:val="single" w:sz="4" w:space="0" w:color="auto"/>
            </w:tcBorders>
            <w:noWrap/>
            <w:tcMar>
              <w:top w:w="0" w:type="dxa"/>
              <w:left w:w="108" w:type="dxa"/>
              <w:bottom w:w="0" w:type="dxa"/>
              <w:right w:w="108" w:type="dxa"/>
            </w:tcMar>
            <w:vAlign w:val="bottom"/>
            <w:hideMark/>
          </w:tcPr>
          <w:p w14:paraId="396D56FF" w14:textId="77777777" w:rsidR="007C0855" w:rsidRPr="00010B50" w:rsidRDefault="007C0855" w:rsidP="00A067D6">
            <w:pPr>
              <w:rPr>
                <w:rFonts w:asciiTheme="minorHAnsi" w:hAnsiTheme="minorHAnsi"/>
                <w:sz w:val="22"/>
                <w:szCs w:val="22"/>
                <w:lang w:eastAsia="en-GB"/>
              </w:rPr>
            </w:pPr>
          </w:p>
        </w:tc>
        <w:tc>
          <w:tcPr>
            <w:tcW w:w="662" w:type="dxa"/>
            <w:tcBorders>
              <w:top w:val="single" w:sz="4" w:space="0" w:color="auto"/>
            </w:tcBorders>
            <w:noWrap/>
            <w:tcMar>
              <w:top w:w="0" w:type="dxa"/>
              <w:left w:w="108" w:type="dxa"/>
              <w:bottom w:w="0" w:type="dxa"/>
              <w:right w:w="108" w:type="dxa"/>
            </w:tcMar>
            <w:vAlign w:val="bottom"/>
            <w:hideMark/>
          </w:tcPr>
          <w:p w14:paraId="32AF4AE1" w14:textId="77777777" w:rsidR="007C0855" w:rsidRPr="00010B50" w:rsidRDefault="007C0855" w:rsidP="00A067D6">
            <w:pPr>
              <w:rPr>
                <w:rFonts w:asciiTheme="minorHAnsi" w:hAnsiTheme="minorHAnsi"/>
                <w:sz w:val="22"/>
                <w:szCs w:val="22"/>
                <w:lang w:eastAsia="en-GB"/>
              </w:rPr>
            </w:pPr>
          </w:p>
        </w:tc>
        <w:tc>
          <w:tcPr>
            <w:tcW w:w="662" w:type="dxa"/>
            <w:tcBorders>
              <w:top w:val="single" w:sz="4" w:space="0" w:color="auto"/>
            </w:tcBorders>
            <w:noWrap/>
            <w:tcMar>
              <w:top w:w="0" w:type="dxa"/>
              <w:left w:w="108" w:type="dxa"/>
              <w:bottom w:w="0" w:type="dxa"/>
              <w:right w:w="108" w:type="dxa"/>
            </w:tcMar>
            <w:vAlign w:val="bottom"/>
            <w:hideMark/>
          </w:tcPr>
          <w:p w14:paraId="09D87634" w14:textId="77777777" w:rsidR="007C0855" w:rsidRPr="00010B50" w:rsidRDefault="007C0855" w:rsidP="00A067D6">
            <w:pPr>
              <w:rPr>
                <w:rFonts w:asciiTheme="minorHAnsi" w:hAnsiTheme="minorHAnsi"/>
                <w:sz w:val="22"/>
                <w:szCs w:val="22"/>
                <w:lang w:eastAsia="en-GB"/>
              </w:rPr>
            </w:pPr>
          </w:p>
        </w:tc>
        <w:tc>
          <w:tcPr>
            <w:tcW w:w="1446" w:type="dxa"/>
            <w:gridSpan w:val="2"/>
            <w:tcBorders>
              <w:top w:val="single" w:sz="4"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503B61E9" w14:textId="77777777" w:rsidR="007C0855" w:rsidRPr="00010B50" w:rsidRDefault="007C0855" w:rsidP="00A067D6">
            <w:pPr>
              <w:rPr>
                <w:rFonts w:asciiTheme="minorHAnsi" w:eastAsiaTheme="minorHAnsi" w:hAnsiTheme="minorHAnsi" w:cs="Arial"/>
                <w:color w:val="000000"/>
                <w:sz w:val="22"/>
                <w:szCs w:val="22"/>
                <w:lang w:eastAsia="en-GB"/>
              </w:rPr>
            </w:pPr>
            <w:r w:rsidRPr="00010B50">
              <w:rPr>
                <w:rFonts w:asciiTheme="minorHAnsi" w:hAnsiTheme="minorHAnsi" w:cs="Arial"/>
                <w:color w:val="000000"/>
                <w:sz w:val="22"/>
                <w:szCs w:val="22"/>
                <w:lang w:eastAsia="en-GB"/>
              </w:rPr>
              <w:t>Percentage</w:t>
            </w:r>
          </w:p>
        </w:tc>
      </w:tr>
      <w:tr w:rsidR="007C0855" w14:paraId="3D7B79FD" w14:textId="77777777" w:rsidTr="00A067D6">
        <w:trPr>
          <w:trHeight w:val="409"/>
        </w:trPr>
        <w:tc>
          <w:tcPr>
            <w:tcW w:w="1746" w:type="dxa"/>
            <w:tcBorders>
              <w:left w:val="single" w:sz="4" w:space="0" w:color="auto"/>
            </w:tcBorders>
            <w:noWrap/>
            <w:tcMar>
              <w:top w:w="0" w:type="dxa"/>
              <w:left w:w="108" w:type="dxa"/>
              <w:bottom w:w="0" w:type="dxa"/>
              <w:right w:w="108" w:type="dxa"/>
            </w:tcMar>
            <w:vAlign w:val="center"/>
            <w:hideMark/>
          </w:tcPr>
          <w:p w14:paraId="481E1496" w14:textId="77777777" w:rsidR="007C0855" w:rsidRPr="00010B50" w:rsidRDefault="007C0855" w:rsidP="00A067D6">
            <w:pPr>
              <w:rPr>
                <w:rFonts w:asciiTheme="minorHAnsi" w:hAnsiTheme="minorHAnsi"/>
                <w:sz w:val="22"/>
                <w:szCs w:val="22"/>
                <w:lang w:eastAsia="en-GB"/>
              </w:rPr>
            </w:pPr>
          </w:p>
        </w:tc>
        <w:tc>
          <w:tcPr>
            <w:tcW w:w="796"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4508A871" w14:textId="77777777" w:rsidR="007C0855" w:rsidRPr="00010B50" w:rsidRDefault="007C0855" w:rsidP="00A067D6">
            <w:pPr>
              <w:jc w:val="right"/>
              <w:rPr>
                <w:rFonts w:asciiTheme="minorHAnsi" w:eastAsiaTheme="minorHAnsi" w:hAnsiTheme="minorHAnsi" w:cs="Arial"/>
                <w:color w:val="000000"/>
                <w:sz w:val="22"/>
                <w:szCs w:val="22"/>
                <w:lang w:eastAsia="en-GB"/>
              </w:rPr>
            </w:pPr>
            <w:r w:rsidRPr="00010B50">
              <w:rPr>
                <w:rFonts w:asciiTheme="minorHAnsi" w:hAnsiTheme="minorHAnsi" w:cs="Arial"/>
                <w:color w:val="000000"/>
                <w:sz w:val="22"/>
                <w:szCs w:val="22"/>
                <w:lang w:eastAsia="en-GB"/>
              </w:rPr>
              <w:t>2007</w:t>
            </w:r>
          </w:p>
        </w:tc>
        <w:tc>
          <w:tcPr>
            <w:tcW w:w="677"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7832CABE"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2008</w:t>
            </w:r>
          </w:p>
        </w:tc>
        <w:tc>
          <w:tcPr>
            <w:tcW w:w="662"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4F98D71B"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2009</w:t>
            </w:r>
          </w:p>
        </w:tc>
        <w:tc>
          <w:tcPr>
            <w:tcW w:w="662"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3580F8DB"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2010</w:t>
            </w:r>
          </w:p>
        </w:tc>
        <w:tc>
          <w:tcPr>
            <w:tcW w:w="662"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FD7BF6D"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2011</w:t>
            </w:r>
          </w:p>
        </w:tc>
        <w:tc>
          <w:tcPr>
            <w:tcW w:w="662"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02D79896"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2012</w:t>
            </w:r>
          </w:p>
        </w:tc>
        <w:tc>
          <w:tcPr>
            <w:tcW w:w="662"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40559C2"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2013</w:t>
            </w:r>
          </w:p>
        </w:tc>
        <w:tc>
          <w:tcPr>
            <w:tcW w:w="662"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7C5121D8"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2014</w:t>
            </w:r>
          </w:p>
        </w:tc>
        <w:tc>
          <w:tcPr>
            <w:tcW w:w="662"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4F8C5F6B"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2015</w:t>
            </w:r>
          </w:p>
        </w:tc>
        <w:tc>
          <w:tcPr>
            <w:tcW w:w="695" w:type="dxa"/>
            <w:tcBorders>
              <w:top w:val="nil"/>
              <w:left w:val="nil"/>
              <w:bottom w:val="single" w:sz="8" w:space="0" w:color="auto"/>
              <w:right w:val="nil"/>
            </w:tcBorders>
            <w:noWrap/>
            <w:tcMar>
              <w:top w:w="0" w:type="dxa"/>
              <w:left w:w="108" w:type="dxa"/>
              <w:bottom w:w="0" w:type="dxa"/>
              <w:right w:w="108" w:type="dxa"/>
            </w:tcMar>
            <w:vAlign w:val="center"/>
            <w:hideMark/>
          </w:tcPr>
          <w:p w14:paraId="573560C4"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2016</w:t>
            </w:r>
          </w:p>
        </w:tc>
        <w:tc>
          <w:tcPr>
            <w:tcW w:w="751"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35CE1153"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2017</w:t>
            </w:r>
          </w:p>
        </w:tc>
      </w:tr>
      <w:tr w:rsidR="007C0855" w14:paraId="03880A67" w14:textId="77777777" w:rsidTr="00A067D6">
        <w:trPr>
          <w:trHeight w:val="193"/>
        </w:trPr>
        <w:tc>
          <w:tcPr>
            <w:tcW w:w="1746" w:type="dxa"/>
            <w:tcBorders>
              <w:left w:val="single" w:sz="4" w:space="0" w:color="auto"/>
            </w:tcBorders>
            <w:noWrap/>
            <w:tcMar>
              <w:top w:w="0" w:type="dxa"/>
              <w:left w:w="108" w:type="dxa"/>
              <w:bottom w:w="0" w:type="dxa"/>
              <w:right w:w="108" w:type="dxa"/>
            </w:tcMar>
            <w:vAlign w:val="bottom"/>
            <w:hideMark/>
          </w:tcPr>
          <w:p w14:paraId="4503BAC6" w14:textId="77777777" w:rsidR="007C0855" w:rsidRPr="00010B50" w:rsidRDefault="007C0855" w:rsidP="00A067D6">
            <w:pPr>
              <w:rPr>
                <w:rFonts w:asciiTheme="minorHAnsi" w:hAnsiTheme="minorHAnsi"/>
                <w:sz w:val="22"/>
                <w:szCs w:val="22"/>
                <w:lang w:eastAsia="en-GB"/>
              </w:rPr>
            </w:pPr>
          </w:p>
        </w:tc>
        <w:tc>
          <w:tcPr>
            <w:tcW w:w="796" w:type="dxa"/>
            <w:noWrap/>
            <w:tcMar>
              <w:top w:w="0" w:type="dxa"/>
              <w:left w:w="108" w:type="dxa"/>
              <w:bottom w:w="0" w:type="dxa"/>
              <w:right w:w="108" w:type="dxa"/>
            </w:tcMar>
            <w:vAlign w:val="bottom"/>
            <w:hideMark/>
          </w:tcPr>
          <w:p w14:paraId="3B210BEE" w14:textId="77777777" w:rsidR="007C0855" w:rsidRPr="00010B50" w:rsidRDefault="007C0855" w:rsidP="00A067D6">
            <w:pPr>
              <w:rPr>
                <w:rFonts w:asciiTheme="minorHAnsi" w:hAnsiTheme="minorHAnsi"/>
                <w:sz w:val="22"/>
                <w:szCs w:val="22"/>
                <w:lang w:eastAsia="en-GB"/>
              </w:rPr>
            </w:pPr>
          </w:p>
        </w:tc>
        <w:tc>
          <w:tcPr>
            <w:tcW w:w="677" w:type="dxa"/>
            <w:noWrap/>
            <w:tcMar>
              <w:top w:w="0" w:type="dxa"/>
              <w:left w:w="108" w:type="dxa"/>
              <w:bottom w:w="0" w:type="dxa"/>
              <w:right w:w="108" w:type="dxa"/>
            </w:tcMar>
            <w:vAlign w:val="bottom"/>
            <w:hideMark/>
          </w:tcPr>
          <w:p w14:paraId="7DD386AB"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36E24CD3"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22AA1A7D"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72C6ED19"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5482C10E"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3735225C"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0C73E8F5"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55BCC80F" w14:textId="77777777" w:rsidR="007C0855" w:rsidRPr="00010B50" w:rsidRDefault="007C0855" w:rsidP="00A067D6">
            <w:pPr>
              <w:rPr>
                <w:rFonts w:asciiTheme="minorHAnsi" w:hAnsiTheme="minorHAnsi"/>
                <w:sz w:val="22"/>
                <w:szCs w:val="22"/>
                <w:lang w:eastAsia="en-GB"/>
              </w:rPr>
            </w:pPr>
          </w:p>
        </w:tc>
        <w:tc>
          <w:tcPr>
            <w:tcW w:w="695" w:type="dxa"/>
            <w:noWrap/>
            <w:tcMar>
              <w:top w:w="0" w:type="dxa"/>
              <w:left w:w="108" w:type="dxa"/>
              <w:bottom w:w="0" w:type="dxa"/>
              <w:right w:w="108" w:type="dxa"/>
            </w:tcMar>
            <w:vAlign w:val="bottom"/>
            <w:hideMark/>
          </w:tcPr>
          <w:p w14:paraId="4653C51C" w14:textId="77777777" w:rsidR="007C0855" w:rsidRPr="00010B50" w:rsidRDefault="007C0855" w:rsidP="00A067D6">
            <w:pPr>
              <w:rPr>
                <w:rFonts w:asciiTheme="minorHAnsi" w:hAnsiTheme="minorHAnsi"/>
                <w:sz w:val="22"/>
                <w:szCs w:val="22"/>
                <w:lang w:eastAsia="en-GB"/>
              </w:rPr>
            </w:pPr>
          </w:p>
        </w:tc>
        <w:tc>
          <w:tcPr>
            <w:tcW w:w="751" w:type="dxa"/>
            <w:tcBorders>
              <w:right w:val="single" w:sz="4" w:space="0" w:color="auto"/>
            </w:tcBorders>
            <w:noWrap/>
            <w:tcMar>
              <w:top w:w="0" w:type="dxa"/>
              <w:left w:w="108" w:type="dxa"/>
              <w:bottom w:w="0" w:type="dxa"/>
              <w:right w:w="108" w:type="dxa"/>
            </w:tcMar>
            <w:vAlign w:val="bottom"/>
            <w:hideMark/>
          </w:tcPr>
          <w:p w14:paraId="16BD9EF6" w14:textId="77777777" w:rsidR="007C0855" w:rsidRPr="00010B50" w:rsidRDefault="007C0855" w:rsidP="00A067D6">
            <w:pPr>
              <w:rPr>
                <w:rFonts w:asciiTheme="minorHAnsi" w:hAnsiTheme="minorHAnsi"/>
                <w:sz w:val="22"/>
                <w:szCs w:val="22"/>
                <w:lang w:eastAsia="en-GB"/>
              </w:rPr>
            </w:pPr>
          </w:p>
        </w:tc>
      </w:tr>
      <w:tr w:rsidR="007C0855" w14:paraId="0DF82E1E" w14:textId="77777777" w:rsidTr="00A067D6">
        <w:trPr>
          <w:trHeight w:val="193"/>
        </w:trPr>
        <w:tc>
          <w:tcPr>
            <w:tcW w:w="1746" w:type="dxa"/>
            <w:tcBorders>
              <w:left w:val="single" w:sz="4" w:space="0" w:color="auto"/>
            </w:tcBorders>
            <w:noWrap/>
            <w:tcMar>
              <w:top w:w="0" w:type="dxa"/>
              <w:left w:w="108" w:type="dxa"/>
              <w:bottom w:w="0" w:type="dxa"/>
              <w:right w:w="108" w:type="dxa"/>
            </w:tcMar>
            <w:vAlign w:val="center"/>
            <w:hideMark/>
          </w:tcPr>
          <w:p w14:paraId="1503CC64" w14:textId="77777777" w:rsidR="007C0855" w:rsidRPr="00010B50" w:rsidRDefault="007C0855" w:rsidP="00A067D6">
            <w:pPr>
              <w:rPr>
                <w:rFonts w:asciiTheme="minorHAnsi" w:eastAsiaTheme="minorHAnsi" w:hAnsiTheme="minorHAnsi" w:cs="Arial"/>
                <w:color w:val="000000"/>
                <w:sz w:val="22"/>
                <w:szCs w:val="22"/>
                <w:lang w:eastAsia="en-GB"/>
              </w:rPr>
            </w:pPr>
            <w:r w:rsidRPr="00010B50">
              <w:rPr>
                <w:rFonts w:asciiTheme="minorHAnsi" w:hAnsiTheme="minorHAnsi" w:cs="Arial"/>
                <w:color w:val="000000"/>
                <w:sz w:val="22"/>
                <w:szCs w:val="22"/>
                <w:lang w:eastAsia="en-GB"/>
              </w:rPr>
              <w:t>England</w:t>
            </w:r>
          </w:p>
        </w:tc>
        <w:tc>
          <w:tcPr>
            <w:tcW w:w="796" w:type="dxa"/>
            <w:noWrap/>
            <w:tcMar>
              <w:top w:w="0" w:type="dxa"/>
              <w:left w:w="108" w:type="dxa"/>
              <w:bottom w:w="0" w:type="dxa"/>
              <w:right w:w="108" w:type="dxa"/>
            </w:tcMar>
            <w:vAlign w:val="bottom"/>
            <w:hideMark/>
          </w:tcPr>
          <w:p w14:paraId="4DC4C9EE" w14:textId="77777777" w:rsidR="007C0855" w:rsidRPr="00010B50" w:rsidRDefault="007C0855" w:rsidP="00A067D6">
            <w:pPr>
              <w:rPr>
                <w:rFonts w:asciiTheme="minorHAnsi" w:hAnsiTheme="minorHAnsi" w:cs="Arial"/>
                <w:color w:val="000000"/>
                <w:sz w:val="22"/>
                <w:szCs w:val="22"/>
                <w:lang w:eastAsia="en-GB"/>
              </w:rPr>
            </w:pPr>
          </w:p>
        </w:tc>
        <w:tc>
          <w:tcPr>
            <w:tcW w:w="677" w:type="dxa"/>
            <w:noWrap/>
            <w:tcMar>
              <w:top w:w="0" w:type="dxa"/>
              <w:left w:w="108" w:type="dxa"/>
              <w:bottom w:w="0" w:type="dxa"/>
              <w:right w:w="108" w:type="dxa"/>
            </w:tcMar>
            <w:vAlign w:val="bottom"/>
            <w:hideMark/>
          </w:tcPr>
          <w:p w14:paraId="118392BE"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7FA15059"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6A94518D"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57098BBA"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244241ED"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1CE7F565"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09BDE46F" w14:textId="77777777" w:rsidR="007C0855" w:rsidRPr="00010B50" w:rsidRDefault="007C0855" w:rsidP="00A067D6">
            <w:pPr>
              <w:rPr>
                <w:rFonts w:asciiTheme="minorHAnsi" w:hAnsiTheme="minorHAnsi"/>
                <w:sz w:val="22"/>
                <w:szCs w:val="22"/>
                <w:lang w:eastAsia="en-GB"/>
              </w:rPr>
            </w:pPr>
          </w:p>
        </w:tc>
        <w:tc>
          <w:tcPr>
            <w:tcW w:w="662" w:type="dxa"/>
            <w:noWrap/>
            <w:tcMar>
              <w:top w:w="0" w:type="dxa"/>
              <w:left w:w="108" w:type="dxa"/>
              <w:bottom w:w="0" w:type="dxa"/>
              <w:right w:w="108" w:type="dxa"/>
            </w:tcMar>
            <w:vAlign w:val="bottom"/>
            <w:hideMark/>
          </w:tcPr>
          <w:p w14:paraId="54F12767" w14:textId="77777777" w:rsidR="007C0855" w:rsidRPr="00010B50" w:rsidRDefault="007C0855" w:rsidP="00A067D6">
            <w:pPr>
              <w:rPr>
                <w:rFonts w:asciiTheme="minorHAnsi" w:hAnsiTheme="minorHAnsi"/>
                <w:sz w:val="22"/>
                <w:szCs w:val="22"/>
                <w:lang w:eastAsia="en-GB"/>
              </w:rPr>
            </w:pPr>
          </w:p>
        </w:tc>
        <w:tc>
          <w:tcPr>
            <w:tcW w:w="695" w:type="dxa"/>
            <w:noWrap/>
            <w:tcMar>
              <w:top w:w="0" w:type="dxa"/>
              <w:left w:w="108" w:type="dxa"/>
              <w:bottom w:w="0" w:type="dxa"/>
              <w:right w:w="108" w:type="dxa"/>
            </w:tcMar>
            <w:vAlign w:val="bottom"/>
            <w:hideMark/>
          </w:tcPr>
          <w:p w14:paraId="42817348" w14:textId="77777777" w:rsidR="007C0855" w:rsidRPr="00010B50" w:rsidRDefault="007C0855" w:rsidP="00A067D6">
            <w:pPr>
              <w:rPr>
                <w:rFonts w:asciiTheme="minorHAnsi" w:hAnsiTheme="minorHAnsi"/>
                <w:sz w:val="22"/>
                <w:szCs w:val="22"/>
                <w:lang w:eastAsia="en-GB"/>
              </w:rPr>
            </w:pPr>
          </w:p>
        </w:tc>
        <w:tc>
          <w:tcPr>
            <w:tcW w:w="751" w:type="dxa"/>
            <w:tcBorders>
              <w:right w:val="single" w:sz="4" w:space="0" w:color="auto"/>
            </w:tcBorders>
            <w:noWrap/>
            <w:tcMar>
              <w:top w:w="0" w:type="dxa"/>
              <w:left w:w="108" w:type="dxa"/>
              <w:bottom w:w="0" w:type="dxa"/>
              <w:right w:w="108" w:type="dxa"/>
            </w:tcMar>
            <w:vAlign w:val="bottom"/>
            <w:hideMark/>
          </w:tcPr>
          <w:p w14:paraId="7B307B54" w14:textId="77777777" w:rsidR="007C0855" w:rsidRPr="00010B50" w:rsidRDefault="007C0855" w:rsidP="00A067D6">
            <w:pPr>
              <w:rPr>
                <w:rFonts w:asciiTheme="minorHAnsi" w:hAnsiTheme="minorHAnsi"/>
                <w:sz w:val="22"/>
                <w:szCs w:val="22"/>
                <w:lang w:eastAsia="en-GB"/>
              </w:rPr>
            </w:pPr>
          </w:p>
        </w:tc>
      </w:tr>
      <w:tr w:rsidR="007C0855" w14:paraId="3D118BD3" w14:textId="77777777" w:rsidTr="00A067D6">
        <w:trPr>
          <w:trHeight w:val="271"/>
        </w:trPr>
        <w:tc>
          <w:tcPr>
            <w:tcW w:w="1746" w:type="dxa"/>
            <w:tcBorders>
              <w:left w:val="single" w:sz="4" w:space="0" w:color="auto"/>
            </w:tcBorders>
            <w:noWrap/>
            <w:tcMar>
              <w:top w:w="0" w:type="dxa"/>
              <w:left w:w="108" w:type="dxa"/>
              <w:bottom w:w="0" w:type="dxa"/>
              <w:right w:w="108" w:type="dxa"/>
            </w:tcMar>
            <w:vAlign w:val="center"/>
            <w:hideMark/>
          </w:tcPr>
          <w:p w14:paraId="050DFE42" w14:textId="77777777" w:rsidR="007C0855" w:rsidRPr="00010B50" w:rsidRDefault="007C0855" w:rsidP="00A067D6">
            <w:pPr>
              <w:rPr>
                <w:rFonts w:asciiTheme="minorHAnsi" w:eastAsiaTheme="minorHAnsi" w:hAnsiTheme="minorHAnsi" w:cs="Arial"/>
                <w:color w:val="000000"/>
                <w:sz w:val="22"/>
                <w:szCs w:val="22"/>
                <w:lang w:eastAsia="en-GB"/>
              </w:rPr>
            </w:pPr>
            <w:r w:rsidRPr="00010B50">
              <w:rPr>
                <w:rFonts w:asciiTheme="minorHAnsi" w:hAnsiTheme="minorHAnsi" w:cs="Arial"/>
                <w:color w:val="000000"/>
                <w:sz w:val="22"/>
                <w:szCs w:val="22"/>
                <w:lang w:eastAsia="en-GB"/>
              </w:rPr>
              <w:t>0 to 2,999</w:t>
            </w:r>
          </w:p>
        </w:tc>
        <w:tc>
          <w:tcPr>
            <w:tcW w:w="796" w:type="dxa"/>
            <w:shd w:val="clear" w:color="auto" w:fill="FFFFFF"/>
            <w:noWrap/>
            <w:tcMar>
              <w:top w:w="0" w:type="dxa"/>
              <w:left w:w="108" w:type="dxa"/>
              <w:bottom w:w="0" w:type="dxa"/>
              <w:right w:w="108" w:type="dxa"/>
            </w:tcMar>
            <w:vAlign w:val="center"/>
            <w:hideMark/>
          </w:tcPr>
          <w:p w14:paraId="04DFD6CA"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20.8</w:t>
            </w:r>
          </w:p>
        </w:tc>
        <w:tc>
          <w:tcPr>
            <w:tcW w:w="677" w:type="dxa"/>
            <w:shd w:val="clear" w:color="auto" w:fill="FFFFFF"/>
            <w:noWrap/>
            <w:tcMar>
              <w:top w:w="0" w:type="dxa"/>
              <w:left w:w="108" w:type="dxa"/>
              <w:bottom w:w="0" w:type="dxa"/>
              <w:right w:w="108" w:type="dxa"/>
            </w:tcMar>
            <w:vAlign w:val="center"/>
            <w:hideMark/>
          </w:tcPr>
          <w:p w14:paraId="1A3FA853"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20.3</w:t>
            </w:r>
          </w:p>
        </w:tc>
        <w:tc>
          <w:tcPr>
            <w:tcW w:w="662" w:type="dxa"/>
            <w:shd w:val="clear" w:color="auto" w:fill="FFFFFF"/>
            <w:noWrap/>
            <w:tcMar>
              <w:top w:w="0" w:type="dxa"/>
              <w:left w:w="108" w:type="dxa"/>
              <w:bottom w:w="0" w:type="dxa"/>
              <w:right w:w="108" w:type="dxa"/>
            </w:tcMar>
            <w:vAlign w:val="center"/>
            <w:hideMark/>
          </w:tcPr>
          <w:p w14:paraId="172940B0"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20.9</w:t>
            </w:r>
          </w:p>
        </w:tc>
        <w:tc>
          <w:tcPr>
            <w:tcW w:w="662" w:type="dxa"/>
            <w:shd w:val="clear" w:color="auto" w:fill="FFFFFF"/>
            <w:noWrap/>
            <w:tcMar>
              <w:top w:w="0" w:type="dxa"/>
              <w:left w:w="108" w:type="dxa"/>
              <w:bottom w:w="0" w:type="dxa"/>
              <w:right w:w="108" w:type="dxa"/>
            </w:tcMar>
            <w:vAlign w:val="center"/>
            <w:hideMark/>
          </w:tcPr>
          <w:p w14:paraId="24A34CD2"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21.2</w:t>
            </w:r>
          </w:p>
        </w:tc>
        <w:tc>
          <w:tcPr>
            <w:tcW w:w="662" w:type="dxa"/>
            <w:shd w:val="clear" w:color="auto" w:fill="FFFFFF"/>
            <w:noWrap/>
            <w:tcMar>
              <w:top w:w="0" w:type="dxa"/>
              <w:left w:w="108" w:type="dxa"/>
              <w:bottom w:w="0" w:type="dxa"/>
              <w:right w:w="108" w:type="dxa"/>
            </w:tcMar>
            <w:vAlign w:val="center"/>
            <w:hideMark/>
          </w:tcPr>
          <w:p w14:paraId="27C6E690"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20.6</w:t>
            </w:r>
          </w:p>
        </w:tc>
        <w:tc>
          <w:tcPr>
            <w:tcW w:w="662" w:type="dxa"/>
            <w:shd w:val="clear" w:color="auto" w:fill="FFFFFF"/>
            <w:noWrap/>
            <w:tcMar>
              <w:top w:w="0" w:type="dxa"/>
              <w:left w:w="108" w:type="dxa"/>
              <w:bottom w:w="0" w:type="dxa"/>
              <w:right w:w="108" w:type="dxa"/>
            </w:tcMar>
            <w:vAlign w:val="center"/>
            <w:hideMark/>
          </w:tcPr>
          <w:p w14:paraId="1487E6BA"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18.4</w:t>
            </w:r>
          </w:p>
        </w:tc>
        <w:tc>
          <w:tcPr>
            <w:tcW w:w="662" w:type="dxa"/>
            <w:shd w:val="clear" w:color="auto" w:fill="FFFFFF"/>
            <w:noWrap/>
            <w:tcMar>
              <w:top w:w="0" w:type="dxa"/>
              <w:left w:w="108" w:type="dxa"/>
              <w:bottom w:w="0" w:type="dxa"/>
              <w:right w:w="108" w:type="dxa"/>
            </w:tcMar>
            <w:vAlign w:val="center"/>
            <w:hideMark/>
          </w:tcPr>
          <w:p w14:paraId="3CAB1AD4"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17.1</w:t>
            </w:r>
          </w:p>
        </w:tc>
        <w:tc>
          <w:tcPr>
            <w:tcW w:w="662" w:type="dxa"/>
            <w:shd w:val="clear" w:color="auto" w:fill="FFFFFF"/>
            <w:noWrap/>
            <w:tcMar>
              <w:top w:w="0" w:type="dxa"/>
              <w:left w:w="108" w:type="dxa"/>
              <w:bottom w:w="0" w:type="dxa"/>
              <w:right w:w="108" w:type="dxa"/>
            </w:tcMar>
            <w:vAlign w:val="center"/>
            <w:hideMark/>
          </w:tcPr>
          <w:p w14:paraId="0B3105C5"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15.9</w:t>
            </w:r>
          </w:p>
        </w:tc>
        <w:tc>
          <w:tcPr>
            <w:tcW w:w="662" w:type="dxa"/>
            <w:shd w:val="clear" w:color="auto" w:fill="FFFFFF"/>
            <w:noWrap/>
            <w:tcMar>
              <w:top w:w="0" w:type="dxa"/>
              <w:left w:w="108" w:type="dxa"/>
              <w:bottom w:w="0" w:type="dxa"/>
              <w:right w:w="108" w:type="dxa"/>
            </w:tcMar>
            <w:vAlign w:val="center"/>
            <w:hideMark/>
          </w:tcPr>
          <w:p w14:paraId="72B7065E"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13.9</w:t>
            </w:r>
          </w:p>
        </w:tc>
        <w:tc>
          <w:tcPr>
            <w:tcW w:w="695" w:type="dxa"/>
            <w:shd w:val="clear" w:color="auto" w:fill="FFFFFF"/>
            <w:noWrap/>
            <w:tcMar>
              <w:top w:w="0" w:type="dxa"/>
              <w:left w:w="108" w:type="dxa"/>
              <w:bottom w:w="0" w:type="dxa"/>
              <w:right w:w="108" w:type="dxa"/>
            </w:tcMar>
            <w:vAlign w:val="center"/>
            <w:hideMark/>
          </w:tcPr>
          <w:p w14:paraId="727C4001"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12.3</w:t>
            </w:r>
          </w:p>
        </w:tc>
        <w:tc>
          <w:tcPr>
            <w:tcW w:w="751" w:type="dxa"/>
            <w:tcBorders>
              <w:right w:val="single" w:sz="4" w:space="0" w:color="auto"/>
            </w:tcBorders>
            <w:noWrap/>
            <w:tcMar>
              <w:top w:w="0" w:type="dxa"/>
              <w:left w:w="108" w:type="dxa"/>
              <w:bottom w:w="0" w:type="dxa"/>
              <w:right w:w="108" w:type="dxa"/>
            </w:tcMar>
            <w:vAlign w:val="center"/>
            <w:hideMark/>
          </w:tcPr>
          <w:p w14:paraId="23B049F2"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10.4</w:t>
            </w:r>
          </w:p>
        </w:tc>
      </w:tr>
      <w:tr w:rsidR="007C0855" w14:paraId="7043A558" w14:textId="77777777" w:rsidTr="00A067D6">
        <w:trPr>
          <w:trHeight w:val="271"/>
        </w:trPr>
        <w:tc>
          <w:tcPr>
            <w:tcW w:w="1746" w:type="dxa"/>
            <w:tcBorders>
              <w:left w:val="single" w:sz="4" w:space="0" w:color="auto"/>
            </w:tcBorders>
            <w:noWrap/>
            <w:tcMar>
              <w:top w:w="0" w:type="dxa"/>
              <w:left w:w="108" w:type="dxa"/>
              <w:bottom w:w="0" w:type="dxa"/>
              <w:right w:w="108" w:type="dxa"/>
            </w:tcMar>
            <w:vAlign w:val="center"/>
            <w:hideMark/>
          </w:tcPr>
          <w:p w14:paraId="652DFF5B" w14:textId="77777777" w:rsidR="007C0855" w:rsidRPr="00010B50" w:rsidRDefault="007C0855" w:rsidP="00A067D6">
            <w:pPr>
              <w:rPr>
                <w:rFonts w:asciiTheme="minorHAnsi" w:eastAsiaTheme="minorHAnsi" w:hAnsiTheme="minorHAnsi" w:cs="Arial"/>
                <w:color w:val="000000"/>
                <w:sz w:val="22"/>
                <w:szCs w:val="22"/>
                <w:lang w:eastAsia="en-GB"/>
              </w:rPr>
            </w:pPr>
            <w:r w:rsidRPr="00010B50">
              <w:rPr>
                <w:rFonts w:asciiTheme="minorHAnsi" w:hAnsiTheme="minorHAnsi" w:cs="Arial"/>
                <w:color w:val="000000"/>
                <w:sz w:val="22"/>
                <w:szCs w:val="22"/>
                <w:lang w:eastAsia="en-GB"/>
              </w:rPr>
              <w:t>3,000 to 5,999</w:t>
            </w:r>
          </w:p>
        </w:tc>
        <w:tc>
          <w:tcPr>
            <w:tcW w:w="796" w:type="dxa"/>
            <w:shd w:val="clear" w:color="auto" w:fill="FFFFFF"/>
            <w:noWrap/>
            <w:tcMar>
              <w:top w:w="0" w:type="dxa"/>
              <w:left w:w="108" w:type="dxa"/>
              <w:bottom w:w="0" w:type="dxa"/>
              <w:right w:w="108" w:type="dxa"/>
            </w:tcMar>
            <w:vAlign w:val="center"/>
            <w:hideMark/>
          </w:tcPr>
          <w:p w14:paraId="30AA40DE"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32.1</w:t>
            </w:r>
          </w:p>
        </w:tc>
        <w:tc>
          <w:tcPr>
            <w:tcW w:w="677" w:type="dxa"/>
            <w:shd w:val="clear" w:color="auto" w:fill="FFFFFF"/>
            <w:noWrap/>
            <w:tcMar>
              <w:top w:w="0" w:type="dxa"/>
              <w:left w:w="108" w:type="dxa"/>
              <w:bottom w:w="0" w:type="dxa"/>
              <w:right w:w="108" w:type="dxa"/>
            </w:tcMar>
            <w:vAlign w:val="center"/>
            <w:hideMark/>
          </w:tcPr>
          <w:p w14:paraId="0E875354"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31.8</w:t>
            </w:r>
          </w:p>
        </w:tc>
        <w:tc>
          <w:tcPr>
            <w:tcW w:w="662" w:type="dxa"/>
            <w:shd w:val="clear" w:color="auto" w:fill="FFFFFF"/>
            <w:noWrap/>
            <w:tcMar>
              <w:top w:w="0" w:type="dxa"/>
              <w:left w:w="108" w:type="dxa"/>
              <w:bottom w:w="0" w:type="dxa"/>
              <w:right w:w="108" w:type="dxa"/>
            </w:tcMar>
            <w:vAlign w:val="center"/>
            <w:hideMark/>
          </w:tcPr>
          <w:p w14:paraId="78946659"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31.3</w:t>
            </w:r>
          </w:p>
        </w:tc>
        <w:tc>
          <w:tcPr>
            <w:tcW w:w="662" w:type="dxa"/>
            <w:shd w:val="clear" w:color="auto" w:fill="FFFFFF"/>
            <w:noWrap/>
            <w:tcMar>
              <w:top w:w="0" w:type="dxa"/>
              <w:left w:w="108" w:type="dxa"/>
              <w:bottom w:w="0" w:type="dxa"/>
              <w:right w:w="108" w:type="dxa"/>
            </w:tcMar>
            <w:vAlign w:val="center"/>
            <w:hideMark/>
          </w:tcPr>
          <w:p w14:paraId="7027644F"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30.6</w:t>
            </w:r>
          </w:p>
        </w:tc>
        <w:tc>
          <w:tcPr>
            <w:tcW w:w="662" w:type="dxa"/>
            <w:shd w:val="clear" w:color="auto" w:fill="FFFFFF"/>
            <w:noWrap/>
            <w:tcMar>
              <w:top w:w="0" w:type="dxa"/>
              <w:left w:w="108" w:type="dxa"/>
              <w:bottom w:w="0" w:type="dxa"/>
              <w:right w:w="108" w:type="dxa"/>
            </w:tcMar>
            <w:vAlign w:val="center"/>
            <w:hideMark/>
          </w:tcPr>
          <w:p w14:paraId="32400DD5"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30.5</w:t>
            </w:r>
          </w:p>
        </w:tc>
        <w:tc>
          <w:tcPr>
            <w:tcW w:w="662" w:type="dxa"/>
            <w:shd w:val="clear" w:color="auto" w:fill="FFFFFF"/>
            <w:noWrap/>
            <w:tcMar>
              <w:top w:w="0" w:type="dxa"/>
              <w:left w:w="108" w:type="dxa"/>
              <w:bottom w:w="0" w:type="dxa"/>
              <w:right w:w="108" w:type="dxa"/>
            </w:tcMar>
            <w:vAlign w:val="center"/>
            <w:hideMark/>
          </w:tcPr>
          <w:p w14:paraId="5E5F63D7"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30.9</w:t>
            </w:r>
          </w:p>
        </w:tc>
        <w:tc>
          <w:tcPr>
            <w:tcW w:w="662" w:type="dxa"/>
            <w:shd w:val="clear" w:color="auto" w:fill="FFFFFF"/>
            <w:noWrap/>
            <w:tcMar>
              <w:top w:w="0" w:type="dxa"/>
              <w:left w:w="108" w:type="dxa"/>
              <w:bottom w:w="0" w:type="dxa"/>
              <w:right w:w="108" w:type="dxa"/>
            </w:tcMar>
            <w:vAlign w:val="center"/>
            <w:hideMark/>
          </w:tcPr>
          <w:p w14:paraId="0C86298B"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31.0</w:t>
            </w:r>
          </w:p>
        </w:tc>
        <w:tc>
          <w:tcPr>
            <w:tcW w:w="662" w:type="dxa"/>
            <w:shd w:val="clear" w:color="auto" w:fill="FFFFFF"/>
            <w:noWrap/>
            <w:tcMar>
              <w:top w:w="0" w:type="dxa"/>
              <w:left w:w="108" w:type="dxa"/>
              <w:bottom w:w="0" w:type="dxa"/>
              <w:right w:w="108" w:type="dxa"/>
            </w:tcMar>
            <w:vAlign w:val="center"/>
            <w:hideMark/>
          </w:tcPr>
          <w:p w14:paraId="11F46555"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30.6</w:t>
            </w:r>
          </w:p>
        </w:tc>
        <w:tc>
          <w:tcPr>
            <w:tcW w:w="662" w:type="dxa"/>
            <w:shd w:val="clear" w:color="auto" w:fill="FFFFFF"/>
            <w:noWrap/>
            <w:tcMar>
              <w:top w:w="0" w:type="dxa"/>
              <w:left w:w="108" w:type="dxa"/>
              <w:bottom w:w="0" w:type="dxa"/>
              <w:right w:w="108" w:type="dxa"/>
            </w:tcMar>
            <w:vAlign w:val="center"/>
            <w:hideMark/>
          </w:tcPr>
          <w:p w14:paraId="67E02B51"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30.3</w:t>
            </w:r>
          </w:p>
        </w:tc>
        <w:tc>
          <w:tcPr>
            <w:tcW w:w="695" w:type="dxa"/>
            <w:shd w:val="clear" w:color="auto" w:fill="FFFFFF"/>
            <w:noWrap/>
            <w:tcMar>
              <w:top w:w="0" w:type="dxa"/>
              <w:left w:w="108" w:type="dxa"/>
              <w:bottom w:w="0" w:type="dxa"/>
              <w:right w:w="108" w:type="dxa"/>
            </w:tcMar>
            <w:vAlign w:val="center"/>
            <w:hideMark/>
          </w:tcPr>
          <w:p w14:paraId="1DEAC088"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30.1</w:t>
            </w:r>
          </w:p>
        </w:tc>
        <w:tc>
          <w:tcPr>
            <w:tcW w:w="751" w:type="dxa"/>
            <w:tcBorders>
              <w:right w:val="single" w:sz="4" w:space="0" w:color="auto"/>
            </w:tcBorders>
            <w:noWrap/>
            <w:tcMar>
              <w:top w:w="0" w:type="dxa"/>
              <w:left w:w="108" w:type="dxa"/>
              <w:bottom w:w="0" w:type="dxa"/>
              <w:right w:w="108" w:type="dxa"/>
            </w:tcMar>
            <w:vAlign w:val="center"/>
            <w:hideMark/>
          </w:tcPr>
          <w:p w14:paraId="51E8EFC8"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29.5</w:t>
            </w:r>
          </w:p>
        </w:tc>
      </w:tr>
      <w:tr w:rsidR="007C0855" w14:paraId="601C89AB" w14:textId="77777777" w:rsidTr="00A067D6">
        <w:trPr>
          <w:trHeight w:val="271"/>
        </w:trPr>
        <w:tc>
          <w:tcPr>
            <w:tcW w:w="1746" w:type="dxa"/>
            <w:tcBorders>
              <w:left w:val="single" w:sz="4" w:space="0" w:color="auto"/>
            </w:tcBorders>
            <w:noWrap/>
            <w:tcMar>
              <w:top w:w="0" w:type="dxa"/>
              <w:left w:w="108" w:type="dxa"/>
              <w:bottom w:w="0" w:type="dxa"/>
              <w:right w:w="108" w:type="dxa"/>
            </w:tcMar>
            <w:vAlign w:val="center"/>
            <w:hideMark/>
          </w:tcPr>
          <w:p w14:paraId="6E2B0B11" w14:textId="77777777" w:rsidR="007C0855" w:rsidRPr="00010B50" w:rsidRDefault="007C0855" w:rsidP="00A067D6">
            <w:pPr>
              <w:rPr>
                <w:rFonts w:asciiTheme="minorHAnsi" w:eastAsiaTheme="minorHAnsi" w:hAnsiTheme="minorHAnsi" w:cs="Arial"/>
                <w:color w:val="000000"/>
                <w:sz w:val="22"/>
                <w:szCs w:val="22"/>
                <w:lang w:eastAsia="en-GB"/>
              </w:rPr>
            </w:pPr>
            <w:r w:rsidRPr="00010B50">
              <w:rPr>
                <w:rFonts w:asciiTheme="minorHAnsi" w:hAnsiTheme="minorHAnsi" w:cs="Arial"/>
                <w:color w:val="000000"/>
                <w:sz w:val="22"/>
                <w:szCs w:val="22"/>
                <w:lang w:eastAsia="en-GB"/>
              </w:rPr>
              <w:t>6,000 to 8,999</w:t>
            </w:r>
          </w:p>
        </w:tc>
        <w:tc>
          <w:tcPr>
            <w:tcW w:w="796" w:type="dxa"/>
            <w:shd w:val="clear" w:color="auto" w:fill="FFFFFF"/>
            <w:noWrap/>
            <w:tcMar>
              <w:top w:w="0" w:type="dxa"/>
              <w:left w:w="108" w:type="dxa"/>
              <w:bottom w:w="0" w:type="dxa"/>
              <w:right w:w="108" w:type="dxa"/>
            </w:tcMar>
            <w:vAlign w:val="center"/>
            <w:hideMark/>
          </w:tcPr>
          <w:p w14:paraId="04546CD0"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22.8</w:t>
            </w:r>
          </w:p>
        </w:tc>
        <w:tc>
          <w:tcPr>
            <w:tcW w:w="677" w:type="dxa"/>
            <w:shd w:val="clear" w:color="auto" w:fill="FFFFFF"/>
            <w:noWrap/>
            <w:tcMar>
              <w:top w:w="0" w:type="dxa"/>
              <w:left w:w="108" w:type="dxa"/>
              <w:bottom w:w="0" w:type="dxa"/>
              <w:right w:w="108" w:type="dxa"/>
            </w:tcMar>
            <w:vAlign w:val="center"/>
            <w:hideMark/>
          </w:tcPr>
          <w:p w14:paraId="35DF0EC0"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22.8</w:t>
            </w:r>
          </w:p>
        </w:tc>
        <w:tc>
          <w:tcPr>
            <w:tcW w:w="662" w:type="dxa"/>
            <w:shd w:val="clear" w:color="auto" w:fill="FFFFFF"/>
            <w:noWrap/>
            <w:tcMar>
              <w:top w:w="0" w:type="dxa"/>
              <w:left w:w="108" w:type="dxa"/>
              <w:bottom w:w="0" w:type="dxa"/>
              <w:right w:w="108" w:type="dxa"/>
            </w:tcMar>
            <w:vAlign w:val="center"/>
            <w:hideMark/>
          </w:tcPr>
          <w:p w14:paraId="4945B584"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22.2</w:t>
            </w:r>
          </w:p>
        </w:tc>
        <w:tc>
          <w:tcPr>
            <w:tcW w:w="662" w:type="dxa"/>
            <w:shd w:val="clear" w:color="auto" w:fill="FFFFFF"/>
            <w:noWrap/>
            <w:tcMar>
              <w:top w:w="0" w:type="dxa"/>
              <w:left w:w="108" w:type="dxa"/>
              <w:bottom w:w="0" w:type="dxa"/>
              <w:right w:w="108" w:type="dxa"/>
            </w:tcMar>
            <w:vAlign w:val="center"/>
            <w:hideMark/>
          </w:tcPr>
          <w:p w14:paraId="125153A9"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22.3</w:t>
            </w:r>
          </w:p>
        </w:tc>
        <w:tc>
          <w:tcPr>
            <w:tcW w:w="662" w:type="dxa"/>
            <w:shd w:val="clear" w:color="auto" w:fill="FFFFFF"/>
            <w:noWrap/>
            <w:tcMar>
              <w:top w:w="0" w:type="dxa"/>
              <w:left w:w="108" w:type="dxa"/>
              <w:bottom w:w="0" w:type="dxa"/>
              <w:right w:w="108" w:type="dxa"/>
            </w:tcMar>
            <w:vAlign w:val="center"/>
            <w:hideMark/>
          </w:tcPr>
          <w:p w14:paraId="5503318A"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22.5</w:t>
            </w:r>
          </w:p>
        </w:tc>
        <w:tc>
          <w:tcPr>
            <w:tcW w:w="662" w:type="dxa"/>
            <w:shd w:val="clear" w:color="auto" w:fill="FFFFFF"/>
            <w:noWrap/>
            <w:tcMar>
              <w:top w:w="0" w:type="dxa"/>
              <w:left w:w="108" w:type="dxa"/>
              <w:bottom w:w="0" w:type="dxa"/>
              <w:right w:w="108" w:type="dxa"/>
            </w:tcMar>
            <w:vAlign w:val="center"/>
            <w:hideMark/>
          </w:tcPr>
          <w:p w14:paraId="76906F58"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23.0</w:t>
            </w:r>
          </w:p>
        </w:tc>
        <w:tc>
          <w:tcPr>
            <w:tcW w:w="662" w:type="dxa"/>
            <w:shd w:val="clear" w:color="auto" w:fill="FFFFFF"/>
            <w:noWrap/>
            <w:tcMar>
              <w:top w:w="0" w:type="dxa"/>
              <w:left w:w="108" w:type="dxa"/>
              <w:bottom w:w="0" w:type="dxa"/>
              <w:right w:w="108" w:type="dxa"/>
            </w:tcMar>
            <w:vAlign w:val="center"/>
            <w:hideMark/>
          </w:tcPr>
          <w:p w14:paraId="1E0C789C"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23.3</w:t>
            </w:r>
          </w:p>
        </w:tc>
        <w:tc>
          <w:tcPr>
            <w:tcW w:w="662" w:type="dxa"/>
            <w:shd w:val="clear" w:color="auto" w:fill="FFFFFF"/>
            <w:noWrap/>
            <w:tcMar>
              <w:top w:w="0" w:type="dxa"/>
              <w:left w:w="108" w:type="dxa"/>
              <w:bottom w:w="0" w:type="dxa"/>
              <w:right w:w="108" w:type="dxa"/>
            </w:tcMar>
            <w:vAlign w:val="center"/>
            <w:hideMark/>
          </w:tcPr>
          <w:p w14:paraId="5F7BB30A"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24.0</w:t>
            </w:r>
          </w:p>
        </w:tc>
        <w:tc>
          <w:tcPr>
            <w:tcW w:w="662" w:type="dxa"/>
            <w:shd w:val="clear" w:color="auto" w:fill="FFFFFF"/>
            <w:noWrap/>
            <w:tcMar>
              <w:top w:w="0" w:type="dxa"/>
              <w:left w:w="108" w:type="dxa"/>
              <w:bottom w:w="0" w:type="dxa"/>
              <w:right w:w="108" w:type="dxa"/>
            </w:tcMar>
            <w:vAlign w:val="center"/>
            <w:hideMark/>
          </w:tcPr>
          <w:p w14:paraId="27907395"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24.3</w:t>
            </w:r>
          </w:p>
        </w:tc>
        <w:tc>
          <w:tcPr>
            <w:tcW w:w="695" w:type="dxa"/>
            <w:shd w:val="clear" w:color="auto" w:fill="FFFFFF"/>
            <w:noWrap/>
            <w:tcMar>
              <w:top w:w="0" w:type="dxa"/>
              <w:left w:w="108" w:type="dxa"/>
              <w:bottom w:w="0" w:type="dxa"/>
              <w:right w:w="108" w:type="dxa"/>
            </w:tcMar>
            <w:vAlign w:val="center"/>
            <w:hideMark/>
          </w:tcPr>
          <w:p w14:paraId="6BAED2A6"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24.6</w:t>
            </w:r>
          </w:p>
        </w:tc>
        <w:tc>
          <w:tcPr>
            <w:tcW w:w="751" w:type="dxa"/>
            <w:tcBorders>
              <w:right w:val="single" w:sz="4" w:space="0" w:color="auto"/>
            </w:tcBorders>
            <w:noWrap/>
            <w:tcMar>
              <w:top w:w="0" w:type="dxa"/>
              <w:left w:w="108" w:type="dxa"/>
              <w:bottom w:w="0" w:type="dxa"/>
              <w:right w:w="108" w:type="dxa"/>
            </w:tcMar>
            <w:vAlign w:val="center"/>
            <w:hideMark/>
          </w:tcPr>
          <w:p w14:paraId="2CD41B00"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24.9</w:t>
            </w:r>
          </w:p>
        </w:tc>
      </w:tr>
      <w:tr w:rsidR="007C0855" w14:paraId="615FD6E3" w14:textId="77777777" w:rsidTr="00A067D6">
        <w:trPr>
          <w:trHeight w:val="271"/>
        </w:trPr>
        <w:tc>
          <w:tcPr>
            <w:tcW w:w="1746" w:type="dxa"/>
            <w:tcBorders>
              <w:left w:val="single" w:sz="4" w:space="0" w:color="auto"/>
            </w:tcBorders>
            <w:noWrap/>
            <w:tcMar>
              <w:top w:w="0" w:type="dxa"/>
              <w:left w:w="108" w:type="dxa"/>
              <w:bottom w:w="0" w:type="dxa"/>
              <w:right w:w="108" w:type="dxa"/>
            </w:tcMar>
            <w:vAlign w:val="center"/>
            <w:hideMark/>
          </w:tcPr>
          <w:p w14:paraId="41DA4794" w14:textId="77777777" w:rsidR="007C0855" w:rsidRPr="00010B50" w:rsidRDefault="007C0855" w:rsidP="00A067D6">
            <w:pPr>
              <w:rPr>
                <w:rFonts w:asciiTheme="minorHAnsi" w:eastAsiaTheme="minorHAnsi" w:hAnsiTheme="minorHAnsi" w:cs="Arial"/>
                <w:color w:val="000000"/>
                <w:sz w:val="22"/>
                <w:szCs w:val="22"/>
                <w:lang w:eastAsia="en-GB"/>
              </w:rPr>
            </w:pPr>
            <w:r w:rsidRPr="00010B50">
              <w:rPr>
                <w:rFonts w:asciiTheme="minorHAnsi" w:hAnsiTheme="minorHAnsi" w:cs="Arial"/>
                <w:color w:val="000000"/>
                <w:sz w:val="22"/>
                <w:szCs w:val="22"/>
                <w:lang w:eastAsia="en-GB"/>
              </w:rPr>
              <w:t>9,000 to 11,999</w:t>
            </w:r>
          </w:p>
        </w:tc>
        <w:tc>
          <w:tcPr>
            <w:tcW w:w="796" w:type="dxa"/>
            <w:shd w:val="clear" w:color="auto" w:fill="FFFFFF"/>
            <w:noWrap/>
            <w:tcMar>
              <w:top w:w="0" w:type="dxa"/>
              <w:left w:w="108" w:type="dxa"/>
              <w:bottom w:w="0" w:type="dxa"/>
              <w:right w:w="108" w:type="dxa"/>
            </w:tcMar>
            <w:vAlign w:val="center"/>
            <w:hideMark/>
          </w:tcPr>
          <w:p w14:paraId="6DF8C62A"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14.6</w:t>
            </w:r>
          </w:p>
        </w:tc>
        <w:tc>
          <w:tcPr>
            <w:tcW w:w="677" w:type="dxa"/>
            <w:shd w:val="clear" w:color="auto" w:fill="FFFFFF"/>
            <w:noWrap/>
            <w:tcMar>
              <w:top w:w="0" w:type="dxa"/>
              <w:left w:w="108" w:type="dxa"/>
              <w:bottom w:w="0" w:type="dxa"/>
              <w:right w:w="108" w:type="dxa"/>
            </w:tcMar>
            <w:vAlign w:val="center"/>
            <w:hideMark/>
          </w:tcPr>
          <w:p w14:paraId="7BD72B72"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15.0</w:t>
            </w:r>
          </w:p>
        </w:tc>
        <w:tc>
          <w:tcPr>
            <w:tcW w:w="662" w:type="dxa"/>
            <w:shd w:val="clear" w:color="auto" w:fill="FFFFFF"/>
            <w:noWrap/>
            <w:tcMar>
              <w:top w:w="0" w:type="dxa"/>
              <w:left w:w="108" w:type="dxa"/>
              <w:bottom w:w="0" w:type="dxa"/>
              <w:right w:w="108" w:type="dxa"/>
            </w:tcMar>
            <w:vAlign w:val="center"/>
            <w:hideMark/>
          </w:tcPr>
          <w:p w14:paraId="08AAADBA"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15.2</w:t>
            </w:r>
          </w:p>
        </w:tc>
        <w:tc>
          <w:tcPr>
            <w:tcW w:w="662" w:type="dxa"/>
            <w:shd w:val="clear" w:color="auto" w:fill="FFFFFF"/>
            <w:noWrap/>
            <w:tcMar>
              <w:top w:w="0" w:type="dxa"/>
              <w:left w:w="108" w:type="dxa"/>
              <w:bottom w:w="0" w:type="dxa"/>
              <w:right w:w="108" w:type="dxa"/>
            </w:tcMar>
            <w:vAlign w:val="center"/>
            <w:hideMark/>
          </w:tcPr>
          <w:p w14:paraId="16D76F0C"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15.1</w:t>
            </w:r>
          </w:p>
        </w:tc>
        <w:tc>
          <w:tcPr>
            <w:tcW w:w="662" w:type="dxa"/>
            <w:shd w:val="clear" w:color="auto" w:fill="FFFFFF"/>
            <w:noWrap/>
            <w:tcMar>
              <w:top w:w="0" w:type="dxa"/>
              <w:left w:w="108" w:type="dxa"/>
              <w:bottom w:w="0" w:type="dxa"/>
              <w:right w:w="108" w:type="dxa"/>
            </w:tcMar>
            <w:vAlign w:val="center"/>
            <w:hideMark/>
          </w:tcPr>
          <w:p w14:paraId="61CBD4DB"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15.3</w:t>
            </w:r>
          </w:p>
        </w:tc>
        <w:tc>
          <w:tcPr>
            <w:tcW w:w="662" w:type="dxa"/>
            <w:shd w:val="clear" w:color="auto" w:fill="FFFFFF"/>
            <w:noWrap/>
            <w:tcMar>
              <w:top w:w="0" w:type="dxa"/>
              <w:left w:w="108" w:type="dxa"/>
              <w:bottom w:w="0" w:type="dxa"/>
              <w:right w:w="108" w:type="dxa"/>
            </w:tcMar>
            <w:vAlign w:val="center"/>
            <w:hideMark/>
          </w:tcPr>
          <w:p w14:paraId="63B1C9EC"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15.9</w:t>
            </w:r>
          </w:p>
        </w:tc>
        <w:tc>
          <w:tcPr>
            <w:tcW w:w="662" w:type="dxa"/>
            <w:shd w:val="clear" w:color="auto" w:fill="FFFFFF"/>
            <w:noWrap/>
            <w:tcMar>
              <w:top w:w="0" w:type="dxa"/>
              <w:left w:w="108" w:type="dxa"/>
              <w:bottom w:w="0" w:type="dxa"/>
              <w:right w:w="108" w:type="dxa"/>
            </w:tcMar>
            <w:vAlign w:val="center"/>
            <w:hideMark/>
          </w:tcPr>
          <w:p w14:paraId="369C3FF2"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16.4</w:t>
            </w:r>
          </w:p>
        </w:tc>
        <w:tc>
          <w:tcPr>
            <w:tcW w:w="662" w:type="dxa"/>
            <w:shd w:val="clear" w:color="auto" w:fill="FFFFFF"/>
            <w:noWrap/>
            <w:tcMar>
              <w:top w:w="0" w:type="dxa"/>
              <w:left w:w="108" w:type="dxa"/>
              <w:bottom w:w="0" w:type="dxa"/>
              <w:right w:w="108" w:type="dxa"/>
            </w:tcMar>
            <w:vAlign w:val="center"/>
            <w:hideMark/>
          </w:tcPr>
          <w:p w14:paraId="234DFF42"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16.4</w:t>
            </w:r>
          </w:p>
        </w:tc>
        <w:tc>
          <w:tcPr>
            <w:tcW w:w="662" w:type="dxa"/>
            <w:shd w:val="clear" w:color="auto" w:fill="FFFFFF"/>
            <w:noWrap/>
            <w:tcMar>
              <w:top w:w="0" w:type="dxa"/>
              <w:left w:w="108" w:type="dxa"/>
              <w:bottom w:w="0" w:type="dxa"/>
              <w:right w:w="108" w:type="dxa"/>
            </w:tcMar>
            <w:vAlign w:val="center"/>
            <w:hideMark/>
          </w:tcPr>
          <w:p w14:paraId="02464060"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17.0</w:t>
            </w:r>
          </w:p>
        </w:tc>
        <w:tc>
          <w:tcPr>
            <w:tcW w:w="695" w:type="dxa"/>
            <w:shd w:val="clear" w:color="auto" w:fill="FFFFFF"/>
            <w:noWrap/>
            <w:tcMar>
              <w:top w:w="0" w:type="dxa"/>
              <w:left w:w="108" w:type="dxa"/>
              <w:bottom w:w="0" w:type="dxa"/>
              <w:right w:w="108" w:type="dxa"/>
            </w:tcMar>
            <w:vAlign w:val="center"/>
            <w:hideMark/>
          </w:tcPr>
          <w:p w14:paraId="5C205B98"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17.2</w:t>
            </w:r>
          </w:p>
        </w:tc>
        <w:tc>
          <w:tcPr>
            <w:tcW w:w="751" w:type="dxa"/>
            <w:tcBorders>
              <w:right w:val="single" w:sz="4" w:space="0" w:color="auto"/>
            </w:tcBorders>
            <w:noWrap/>
            <w:tcMar>
              <w:top w:w="0" w:type="dxa"/>
              <w:left w:w="108" w:type="dxa"/>
              <w:bottom w:w="0" w:type="dxa"/>
              <w:right w:w="108" w:type="dxa"/>
            </w:tcMar>
            <w:vAlign w:val="center"/>
            <w:hideMark/>
          </w:tcPr>
          <w:p w14:paraId="6066C351"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17.7</w:t>
            </w:r>
          </w:p>
        </w:tc>
      </w:tr>
      <w:tr w:rsidR="007C0855" w14:paraId="3A3D0155" w14:textId="77777777" w:rsidTr="00A067D6">
        <w:trPr>
          <w:trHeight w:val="271"/>
        </w:trPr>
        <w:tc>
          <w:tcPr>
            <w:tcW w:w="1746" w:type="dxa"/>
            <w:tcBorders>
              <w:left w:val="single" w:sz="4" w:space="0" w:color="auto"/>
            </w:tcBorders>
            <w:noWrap/>
            <w:tcMar>
              <w:top w:w="0" w:type="dxa"/>
              <w:left w:w="108" w:type="dxa"/>
              <w:bottom w:w="0" w:type="dxa"/>
              <w:right w:w="108" w:type="dxa"/>
            </w:tcMar>
            <w:vAlign w:val="center"/>
            <w:hideMark/>
          </w:tcPr>
          <w:p w14:paraId="34C3A1D9" w14:textId="77777777" w:rsidR="007C0855" w:rsidRPr="00010B50" w:rsidRDefault="007C0855" w:rsidP="00A067D6">
            <w:pPr>
              <w:rPr>
                <w:rFonts w:asciiTheme="minorHAnsi" w:eastAsiaTheme="minorHAnsi" w:hAnsiTheme="minorHAnsi" w:cs="Arial"/>
                <w:color w:val="000000"/>
                <w:sz w:val="22"/>
                <w:szCs w:val="22"/>
                <w:lang w:eastAsia="en-GB"/>
              </w:rPr>
            </w:pPr>
            <w:r w:rsidRPr="00010B50">
              <w:rPr>
                <w:rFonts w:asciiTheme="minorHAnsi" w:hAnsiTheme="minorHAnsi" w:cs="Arial"/>
                <w:color w:val="000000"/>
                <w:sz w:val="22"/>
                <w:szCs w:val="22"/>
                <w:lang w:eastAsia="en-GB"/>
              </w:rPr>
              <w:t>12,000 to 14,999</w:t>
            </w:r>
          </w:p>
        </w:tc>
        <w:tc>
          <w:tcPr>
            <w:tcW w:w="796" w:type="dxa"/>
            <w:shd w:val="clear" w:color="auto" w:fill="FFFFFF"/>
            <w:noWrap/>
            <w:tcMar>
              <w:top w:w="0" w:type="dxa"/>
              <w:left w:w="108" w:type="dxa"/>
              <w:bottom w:w="0" w:type="dxa"/>
              <w:right w:w="108" w:type="dxa"/>
            </w:tcMar>
            <w:vAlign w:val="center"/>
            <w:hideMark/>
          </w:tcPr>
          <w:p w14:paraId="5024E470"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6.6</w:t>
            </w:r>
          </w:p>
        </w:tc>
        <w:tc>
          <w:tcPr>
            <w:tcW w:w="677" w:type="dxa"/>
            <w:shd w:val="clear" w:color="auto" w:fill="FFFFFF"/>
            <w:noWrap/>
            <w:tcMar>
              <w:top w:w="0" w:type="dxa"/>
              <w:left w:w="108" w:type="dxa"/>
              <w:bottom w:w="0" w:type="dxa"/>
              <w:right w:w="108" w:type="dxa"/>
            </w:tcMar>
            <w:vAlign w:val="center"/>
            <w:hideMark/>
          </w:tcPr>
          <w:p w14:paraId="325C7807"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6.8</w:t>
            </w:r>
          </w:p>
        </w:tc>
        <w:tc>
          <w:tcPr>
            <w:tcW w:w="662" w:type="dxa"/>
            <w:shd w:val="clear" w:color="auto" w:fill="FFFFFF"/>
            <w:noWrap/>
            <w:tcMar>
              <w:top w:w="0" w:type="dxa"/>
              <w:left w:w="108" w:type="dxa"/>
              <w:bottom w:w="0" w:type="dxa"/>
              <w:right w:w="108" w:type="dxa"/>
            </w:tcMar>
            <w:vAlign w:val="center"/>
            <w:hideMark/>
          </w:tcPr>
          <w:p w14:paraId="20756821"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7.0</w:t>
            </w:r>
          </w:p>
        </w:tc>
        <w:tc>
          <w:tcPr>
            <w:tcW w:w="662" w:type="dxa"/>
            <w:shd w:val="clear" w:color="auto" w:fill="FFFFFF"/>
            <w:noWrap/>
            <w:tcMar>
              <w:top w:w="0" w:type="dxa"/>
              <w:left w:w="108" w:type="dxa"/>
              <w:bottom w:w="0" w:type="dxa"/>
              <w:right w:w="108" w:type="dxa"/>
            </w:tcMar>
            <w:vAlign w:val="center"/>
            <w:hideMark/>
          </w:tcPr>
          <w:p w14:paraId="53288DAF"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7.2</w:t>
            </w:r>
          </w:p>
        </w:tc>
        <w:tc>
          <w:tcPr>
            <w:tcW w:w="662" w:type="dxa"/>
            <w:shd w:val="clear" w:color="auto" w:fill="FFFFFF"/>
            <w:noWrap/>
            <w:tcMar>
              <w:top w:w="0" w:type="dxa"/>
              <w:left w:w="108" w:type="dxa"/>
              <w:bottom w:w="0" w:type="dxa"/>
              <w:right w:w="108" w:type="dxa"/>
            </w:tcMar>
            <w:vAlign w:val="center"/>
            <w:hideMark/>
          </w:tcPr>
          <w:p w14:paraId="55D0484B"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7.3</w:t>
            </w:r>
          </w:p>
        </w:tc>
        <w:tc>
          <w:tcPr>
            <w:tcW w:w="662" w:type="dxa"/>
            <w:shd w:val="clear" w:color="auto" w:fill="FFFFFF"/>
            <w:noWrap/>
            <w:tcMar>
              <w:top w:w="0" w:type="dxa"/>
              <w:left w:w="108" w:type="dxa"/>
              <w:bottom w:w="0" w:type="dxa"/>
              <w:right w:w="108" w:type="dxa"/>
            </w:tcMar>
            <w:vAlign w:val="center"/>
            <w:hideMark/>
          </w:tcPr>
          <w:p w14:paraId="3272374B"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7.5</w:t>
            </w:r>
          </w:p>
        </w:tc>
        <w:tc>
          <w:tcPr>
            <w:tcW w:w="662" w:type="dxa"/>
            <w:shd w:val="clear" w:color="auto" w:fill="FFFFFF"/>
            <w:noWrap/>
            <w:tcMar>
              <w:top w:w="0" w:type="dxa"/>
              <w:left w:w="108" w:type="dxa"/>
              <w:bottom w:w="0" w:type="dxa"/>
              <w:right w:w="108" w:type="dxa"/>
            </w:tcMar>
            <w:vAlign w:val="center"/>
            <w:hideMark/>
          </w:tcPr>
          <w:p w14:paraId="62C00E1D"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7.8</w:t>
            </w:r>
          </w:p>
        </w:tc>
        <w:tc>
          <w:tcPr>
            <w:tcW w:w="662" w:type="dxa"/>
            <w:shd w:val="clear" w:color="auto" w:fill="FFFFFF"/>
            <w:noWrap/>
            <w:tcMar>
              <w:top w:w="0" w:type="dxa"/>
              <w:left w:w="108" w:type="dxa"/>
              <w:bottom w:w="0" w:type="dxa"/>
              <w:right w:w="108" w:type="dxa"/>
            </w:tcMar>
            <w:vAlign w:val="center"/>
            <w:hideMark/>
          </w:tcPr>
          <w:p w14:paraId="7CEA4E84"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8.3</w:t>
            </w:r>
          </w:p>
        </w:tc>
        <w:tc>
          <w:tcPr>
            <w:tcW w:w="662" w:type="dxa"/>
            <w:shd w:val="clear" w:color="auto" w:fill="FFFFFF"/>
            <w:noWrap/>
            <w:tcMar>
              <w:top w:w="0" w:type="dxa"/>
              <w:left w:w="108" w:type="dxa"/>
              <w:bottom w:w="0" w:type="dxa"/>
              <w:right w:w="108" w:type="dxa"/>
            </w:tcMar>
            <w:vAlign w:val="center"/>
            <w:hideMark/>
          </w:tcPr>
          <w:p w14:paraId="43D311F1"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8.9</w:t>
            </w:r>
          </w:p>
        </w:tc>
        <w:tc>
          <w:tcPr>
            <w:tcW w:w="695" w:type="dxa"/>
            <w:shd w:val="clear" w:color="auto" w:fill="FFFFFF"/>
            <w:noWrap/>
            <w:tcMar>
              <w:top w:w="0" w:type="dxa"/>
              <w:left w:w="108" w:type="dxa"/>
              <w:bottom w:w="0" w:type="dxa"/>
              <w:right w:w="108" w:type="dxa"/>
            </w:tcMar>
            <w:vAlign w:val="center"/>
            <w:hideMark/>
          </w:tcPr>
          <w:p w14:paraId="13642B49"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9.4</w:t>
            </w:r>
          </w:p>
        </w:tc>
        <w:tc>
          <w:tcPr>
            <w:tcW w:w="751" w:type="dxa"/>
            <w:tcBorders>
              <w:right w:val="single" w:sz="4" w:space="0" w:color="auto"/>
            </w:tcBorders>
            <w:noWrap/>
            <w:tcMar>
              <w:top w:w="0" w:type="dxa"/>
              <w:left w:w="108" w:type="dxa"/>
              <w:bottom w:w="0" w:type="dxa"/>
              <w:right w:w="108" w:type="dxa"/>
            </w:tcMar>
            <w:vAlign w:val="center"/>
            <w:hideMark/>
          </w:tcPr>
          <w:p w14:paraId="04DD561B"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9.7</w:t>
            </w:r>
          </w:p>
        </w:tc>
      </w:tr>
      <w:tr w:rsidR="007C0855" w14:paraId="272C8B7A" w14:textId="77777777" w:rsidTr="00A067D6">
        <w:trPr>
          <w:trHeight w:val="271"/>
        </w:trPr>
        <w:tc>
          <w:tcPr>
            <w:tcW w:w="1746" w:type="dxa"/>
            <w:tcBorders>
              <w:left w:val="single" w:sz="4" w:space="0" w:color="auto"/>
              <w:bottom w:val="single" w:sz="4" w:space="0" w:color="auto"/>
            </w:tcBorders>
            <w:noWrap/>
            <w:tcMar>
              <w:top w:w="0" w:type="dxa"/>
              <w:left w:w="108" w:type="dxa"/>
              <w:bottom w:w="0" w:type="dxa"/>
              <w:right w:w="108" w:type="dxa"/>
            </w:tcMar>
            <w:vAlign w:val="center"/>
            <w:hideMark/>
          </w:tcPr>
          <w:p w14:paraId="5168E435" w14:textId="77777777" w:rsidR="007C0855" w:rsidRPr="00010B50" w:rsidRDefault="007C0855" w:rsidP="00A067D6">
            <w:pPr>
              <w:rPr>
                <w:rFonts w:asciiTheme="minorHAnsi" w:eastAsiaTheme="minorHAnsi" w:hAnsiTheme="minorHAnsi" w:cs="Arial"/>
                <w:color w:val="000000"/>
                <w:sz w:val="22"/>
                <w:szCs w:val="22"/>
                <w:lang w:eastAsia="en-GB"/>
              </w:rPr>
            </w:pPr>
            <w:r w:rsidRPr="00010B50">
              <w:rPr>
                <w:rFonts w:asciiTheme="minorHAnsi" w:hAnsiTheme="minorHAnsi" w:cs="Arial"/>
                <w:color w:val="000000"/>
                <w:sz w:val="22"/>
                <w:szCs w:val="22"/>
                <w:lang w:eastAsia="en-GB"/>
              </w:rPr>
              <w:t>15,000 +</w:t>
            </w:r>
          </w:p>
        </w:tc>
        <w:tc>
          <w:tcPr>
            <w:tcW w:w="796" w:type="dxa"/>
            <w:tcBorders>
              <w:bottom w:val="single" w:sz="4" w:space="0" w:color="auto"/>
            </w:tcBorders>
            <w:shd w:val="clear" w:color="auto" w:fill="FFFFFF"/>
            <w:noWrap/>
            <w:tcMar>
              <w:top w:w="0" w:type="dxa"/>
              <w:left w:w="108" w:type="dxa"/>
              <w:bottom w:w="0" w:type="dxa"/>
              <w:right w:w="108" w:type="dxa"/>
            </w:tcMar>
            <w:vAlign w:val="center"/>
            <w:hideMark/>
          </w:tcPr>
          <w:p w14:paraId="4007A649"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3.1</w:t>
            </w:r>
          </w:p>
        </w:tc>
        <w:tc>
          <w:tcPr>
            <w:tcW w:w="677" w:type="dxa"/>
            <w:tcBorders>
              <w:bottom w:val="single" w:sz="4" w:space="0" w:color="auto"/>
            </w:tcBorders>
            <w:shd w:val="clear" w:color="auto" w:fill="FFFFFF"/>
            <w:noWrap/>
            <w:tcMar>
              <w:top w:w="0" w:type="dxa"/>
              <w:left w:w="108" w:type="dxa"/>
              <w:bottom w:w="0" w:type="dxa"/>
              <w:right w:w="108" w:type="dxa"/>
            </w:tcMar>
            <w:vAlign w:val="center"/>
            <w:hideMark/>
          </w:tcPr>
          <w:p w14:paraId="008320FB"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3.3</w:t>
            </w:r>
          </w:p>
        </w:tc>
        <w:tc>
          <w:tcPr>
            <w:tcW w:w="662" w:type="dxa"/>
            <w:tcBorders>
              <w:bottom w:val="single" w:sz="4" w:space="0" w:color="auto"/>
            </w:tcBorders>
            <w:shd w:val="clear" w:color="auto" w:fill="FFFFFF"/>
            <w:noWrap/>
            <w:tcMar>
              <w:top w:w="0" w:type="dxa"/>
              <w:left w:w="108" w:type="dxa"/>
              <w:bottom w:w="0" w:type="dxa"/>
              <w:right w:w="108" w:type="dxa"/>
            </w:tcMar>
            <w:vAlign w:val="center"/>
            <w:hideMark/>
          </w:tcPr>
          <w:p w14:paraId="4194E439"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3.4</w:t>
            </w:r>
          </w:p>
        </w:tc>
        <w:tc>
          <w:tcPr>
            <w:tcW w:w="662" w:type="dxa"/>
            <w:tcBorders>
              <w:bottom w:val="single" w:sz="4" w:space="0" w:color="auto"/>
            </w:tcBorders>
            <w:shd w:val="clear" w:color="auto" w:fill="FFFFFF"/>
            <w:noWrap/>
            <w:tcMar>
              <w:top w:w="0" w:type="dxa"/>
              <w:left w:w="108" w:type="dxa"/>
              <w:bottom w:w="0" w:type="dxa"/>
              <w:right w:w="108" w:type="dxa"/>
            </w:tcMar>
            <w:vAlign w:val="center"/>
            <w:hideMark/>
          </w:tcPr>
          <w:p w14:paraId="08042A8A"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3.6</w:t>
            </w:r>
          </w:p>
        </w:tc>
        <w:tc>
          <w:tcPr>
            <w:tcW w:w="662" w:type="dxa"/>
            <w:tcBorders>
              <w:bottom w:val="single" w:sz="4" w:space="0" w:color="auto"/>
            </w:tcBorders>
            <w:shd w:val="clear" w:color="auto" w:fill="FFFFFF"/>
            <w:noWrap/>
            <w:tcMar>
              <w:top w:w="0" w:type="dxa"/>
              <w:left w:w="108" w:type="dxa"/>
              <w:bottom w:w="0" w:type="dxa"/>
              <w:right w:w="108" w:type="dxa"/>
            </w:tcMar>
            <w:vAlign w:val="center"/>
            <w:hideMark/>
          </w:tcPr>
          <w:p w14:paraId="22E0A82E"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3.9</w:t>
            </w:r>
          </w:p>
        </w:tc>
        <w:tc>
          <w:tcPr>
            <w:tcW w:w="662" w:type="dxa"/>
            <w:tcBorders>
              <w:bottom w:val="single" w:sz="4" w:space="0" w:color="auto"/>
            </w:tcBorders>
            <w:shd w:val="clear" w:color="auto" w:fill="FFFFFF"/>
            <w:noWrap/>
            <w:tcMar>
              <w:top w:w="0" w:type="dxa"/>
              <w:left w:w="108" w:type="dxa"/>
              <w:bottom w:w="0" w:type="dxa"/>
              <w:right w:w="108" w:type="dxa"/>
            </w:tcMar>
            <w:vAlign w:val="center"/>
            <w:hideMark/>
          </w:tcPr>
          <w:p w14:paraId="1FA0C175"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4.3</w:t>
            </w:r>
          </w:p>
        </w:tc>
        <w:tc>
          <w:tcPr>
            <w:tcW w:w="662" w:type="dxa"/>
            <w:tcBorders>
              <w:bottom w:val="single" w:sz="4" w:space="0" w:color="auto"/>
            </w:tcBorders>
            <w:shd w:val="clear" w:color="auto" w:fill="FFFFFF"/>
            <w:noWrap/>
            <w:tcMar>
              <w:top w:w="0" w:type="dxa"/>
              <w:left w:w="108" w:type="dxa"/>
              <w:bottom w:w="0" w:type="dxa"/>
              <w:right w:w="108" w:type="dxa"/>
            </w:tcMar>
            <w:vAlign w:val="center"/>
            <w:hideMark/>
          </w:tcPr>
          <w:p w14:paraId="752A69B0"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4.5</w:t>
            </w:r>
          </w:p>
        </w:tc>
        <w:tc>
          <w:tcPr>
            <w:tcW w:w="662" w:type="dxa"/>
            <w:tcBorders>
              <w:bottom w:val="single" w:sz="4" w:space="0" w:color="auto"/>
            </w:tcBorders>
            <w:shd w:val="clear" w:color="auto" w:fill="FFFFFF"/>
            <w:noWrap/>
            <w:tcMar>
              <w:top w:w="0" w:type="dxa"/>
              <w:left w:w="108" w:type="dxa"/>
              <w:bottom w:w="0" w:type="dxa"/>
              <w:right w:w="108" w:type="dxa"/>
            </w:tcMar>
            <w:vAlign w:val="center"/>
            <w:hideMark/>
          </w:tcPr>
          <w:p w14:paraId="77256A03"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4.9</w:t>
            </w:r>
          </w:p>
        </w:tc>
        <w:tc>
          <w:tcPr>
            <w:tcW w:w="662" w:type="dxa"/>
            <w:tcBorders>
              <w:bottom w:val="single" w:sz="4" w:space="0" w:color="auto"/>
            </w:tcBorders>
            <w:shd w:val="clear" w:color="auto" w:fill="FFFFFF"/>
            <w:noWrap/>
            <w:tcMar>
              <w:top w:w="0" w:type="dxa"/>
              <w:left w:w="108" w:type="dxa"/>
              <w:bottom w:w="0" w:type="dxa"/>
              <w:right w:w="108" w:type="dxa"/>
            </w:tcMar>
            <w:vAlign w:val="center"/>
            <w:hideMark/>
          </w:tcPr>
          <w:p w14:paraId="7160F6A3"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5.6</w:t>
            </w:r>
          </w:p>
        </w:tc>
        <w:tc>
          <w:tcPr>
            <w:tcW w:w="695" w:type="dxa"/>
            <w:tcBorders>
              <w:bottom w:val="single" w:sz="4" w:space="0" w:color="auto"/>
            </w:tcBorders>
            <w:shd w:val="clear" w:color="auto" w:fill="FFFFFF"/>
            <w:noWrap/>
            <w:tcMar>
              <w:top w:w="0" w:type="dxa"/>
              <w:left w:w="108" w:type="dxa"/>
              <w:bottom w:w="0" w:type="dxa"/>
              <w:right w:w="108" w:type="dxa"/>
            </w:tcMar>
            <w:vAlign w:val="center"/>
            <w:hideMark/>
          </w:tcPr>
          <w:p w14:paraId="2FE2CDAB" w14:textId="77777777" w:rsidR="007C0855" w:rsidRPr="00010B50" w:rsidRDefault="007C0855" w:rsidP="00A067D6">
            <w:pPr>
              <w:jc w:val="right"/>
              <w:rPr>
                <w:rFonts w:asciiTheme="minorHAnsi" w:hAnsiTheme="minorHAnsi" w:cs="Arial"/>
                <w:sz w:val="22"/>
                <w:szCs w:val="22"/>
                <w:lang w:eastAsia="en-GB"/>
              </w:rPr>
            </w:pPr>
            <w:r w:rsidRPr="00010B50">
              <w:rPr>
                <w:rFonts w:asciiTheme="minorHAnsi" w:hAnsiTheme="minorHAnsi" w:cs="Arial"/>
                <w:sz w:val="22"/>
                <w:szCs w:val="22"/>
                <w:lang w:eastAsia="en-GB"/>
              </w:rPr>
              <w:t>6.4</w:t>
            </w:r>
          </w:p>
        </w:tc>
        <w:tc>
          <w:tcPr>
            <w:tcW w:w="751" w:type="dxa"/>
            <w:tcBorders>
              <w:bottom w:val="single" w:sz="4" w:space="0" w:color="auto"/>
              <w:right w:val="single" w:sz="4" w:space="0" w:color="auto"/>
            </w:tcBorders>
            <w:noWrap/>
            <w:tcMar>
              <w:top w:w="0" w:type="dxa"/>
              <w:left w:w="108" w:type="dxa"/>
              <w:bottom w:w="0" w:type="dxa"/>
              <w:right w:w="108" w:type="dxa"/>
            </w:tcMar>
            <w:vAlign w:val="center"/>
            <w:hideMark/>
          </w:tcPr>
          <w:p w14:paraId="2AF8D5BD" w14:textId="77777777" w:rsidR="007C0855" w:rsidRPr="00010B50" w:rsidRDefault="007C0855" w:rsidP="00A067D6">
            <w:pPr>
              <w:jc w:val="right"/>
              <w:rPr>
                <w:rFonts w:asciiTheme="minorHAnsi" w:hAnsiTheme="minorHAnsi" w:cs="Arial"/>
                <w:color w:val="000000"/>
                <w:sz w:val="22"/>
                <w:szCs w:val="22"/>
                <w:lang w:eastAsia="en-GB"/>
              </w:rPr>
            </w:pPr>
            <w:r w:rsidRPr="00010B50">
              <w:rPr>
                <w:rFonts w:asciiTheme="minorHAnsi" w:hAnsiTheme="minorHAnsi" w:cs="Arial"/>
                <w:color w:val="000000"/>
                <w:sz w:val="22"/>
                <w:szCs w:val="22"/>
                <w:lang w:eastAsia="en-GB"/>
              </w:rPr>
              <w:t>7.8</w:t>
            </w:r>
          </w:p>
        </w:tc>
      </w:tr>
    </w:tbl>
    <w:p w14:paraId="72EF9CA9" w14:textId="77777777" w:rsidR="007C0855" w:rsidRDefault="007C0855" w:rsidP="007C0855">
      <w:pPr>
        <w:rPr>
          <w:rFonts w:cstheme="minorHAnsi"/>
        </w:rPr>
      </w:pPr>
    </w:p>
    <w:p w14:paraId="6D59FB53" w14:textId="77777777" w:rsidR="007C0855" w:rsidRDefault="007C0855" w:rsidP="007C0855">
      <w:pPr>
        <w:jc w:val="both"/>
        <w:rPr>
          <w:rFonts w:cstheme="minorHAnsi"/>
        </w:rPr>
      </w:pPr>
    </w:p>
    <w:p w14:paraId="300B89C7" w14:textId="77777777" w:rsidR="007C0855" w:rsidRPr="004C55F4" w:rsidRDefault="007C0855" w:rsidP="007C0855">
      <w:pPr>
        <w:pStyle w:val="ListParagraph"/>
        <w:numPr>
          <w:ilvl w:val="0"/>
          <w:numId w:val="39"/>
        </w:numPr>
        <w:ind w:left="360"/>
        <w:jc w:val="both"/>
        <w:rPr>
          <w:rFonts w:cstheme="minorHAnsi"/>
        </w:rPr>
      </w:pPr>
      <w:r w:rsidRPr="004C55F4">
        <w:rPr>
          <w:rFonts w:cstheme="minorHAnsi"/>
        </w:rPr>
        <w:t>Approximately 43.5% of GP partners are female, with 73% of ‘other G</w:t>
      </w:r>
      <w:r>
        <w:rPr>
          <w:rFonts w:cstheme="minorHAnsi"/>
        </w:rPr>
        <w:t>P</w:t>
      </w:r>
      <w:r w:rsidRPr="004C55F4">
        <w:rPr>
          <w:rFonts w:cstheme="minorHAnsi"/>
        </w:rPr>
        <w:t>’ and 48.6% of locums.</w:t>
      </w:r>
    </w:p>
    <w:p w14:paraId="45B15D0D" w14:textId="77777777" w:rsidR="007C0855" w:rsidRDefault="007C0855" w:rsidP="007C0855">
      <w:pPr>
        <w:jc w:val="both"/>
        <w:rPr>
          <w:rFonts w:cstheme="minorHAnsi"/>
        </w:rPr>
      </w:pPr>
    </w:p>
    <w:p w14:paraId="404B99AF" w14:textId="77777777" w:rsidR="007C0855" w:rsidRDefault="007C0855" w:rsidP="007C0855">
      <w:pPr>
        <w:pStyle w:val="ListParagraph"/>
        <w:numPr>
          <w:ilvl w:val="0"/>
          <w:numId w:val="39"/>
        </w:numPr>
        <w:ind w:left="360"/>
        <w:jc w:val="both"/>
        <w:rPr>
          <w:rFonts w:cstheme="minorHAnsi"/>
        </w:rPr>
      </w:pPr>
      <w:r w:rsidRPr="004C55F4">
        <w:rPr>
          <w:rFonts w:cstheme="minorHAnsi"/>
        </w:rPr>
        <w:t>Practice staff numbers have fallen in recent years, from a recorded high of 139352 in 2014, to 131705 in 2017 (being 117375 in 2007) with this trend being mirrored for both clinical and non-clinical staff within practices.</w:t>
      </w:r>
    </w:p>
    <w:p w14:paraId="2F539FDF" w14:textId="77777777" w:rsidR="007C0855" w:rsidRPr="004C55F4" w:rsidRDefault="007C0855" w:rsidP="007C0855">
      <w:pPr>
        <w:pStyle w:val="ListParagraph"/>
        <w:jc w:val="both"/>
        <w:rPr>
          <w:rFonts w:cstheme="minorHAnsi"/>
        </w:rPr>
      </w:pPr>
    </w:p>
    <w:p w14:paraId="36290AEC" w14:textId="77777777" w:rsidR="007C0855" w:rsidRDefault="007C0855" w:rsidP="007C0855">
      <w:pPr>
        <w:pStyle w:val="ListParagraph"/>
        <w:numPr>
          <w:ilvl w:val="0"/>
          <w:numId w:val="39"/>
        </w:numPr>
        <w:ind w:left="360"/>
        <w:jc w:val="both"/>
        <w:rPr>
          <w:rFonts w:cstheme="minorHAnsi"/>
        </w:rPr>
      </w:pPr>
      <w:r>
        <w:rPr>
          <w:rFonts w:cstheme="minorHAnsi"/>
        </w:rPr>
        <w:t>The proportion of GP practices holding GMS contracts has risen significantly since 2013 as the nationally mandated PMS Contract Reviews occurred, rising from 55% in 2009 to 69% in 2007.  In addition, a disproportionate number of PMS contracts are now held within NHS England (London).</w:t>
      </w:r>
    </w:p>
    <w:p w14:paraId="5F94E290" w14:textId="77777777" w:rsidR="007C0855" w:rsidRPr="004C55F4" w:rsidRDefault="007C0855" w:rsidP="007C0855">
      <w:pPr>
        <w:pStyle w:val="ListParagraph"/>
        <w:jc w:val="both"/>
        <w:rPr>
          <w:rFonts w:cstheme="minorHAnsi"/>
        </w:rPr>
      </w:pPr>
    </w:p>
    <w:p w14:paraId="6DC49E8D" w14:textId="77777777" w:rsidR="007C0855" w:rsidRDefault="007C0855" w:rsidP="007C0855">
      <w:pPr>
        <w:pStyle w:val="ListParagraph"/>
        <w:numPr>
          <w:ilvl w:val="0"/>
          <w:numId w:val="39"/>
        </w:numPr>
        <w:ind w:left="360"/>
        <w:jc w:val="both"/>
        <w:rPr>
          <w:rFonts w:cstheme="minorHAnsi"/>
        </w:rPr>
      </w:pPr>
      <w:r>
        <w:rPr>
          <w:rFonts w:cstheme="minorHAnsi"/>
        </w:rPr>
        <w:t>The number of APMS contracts has risen only slowly, from 173 in 2009 to 224 in 2017, now representing 3% of the total number of practices.</w:t>
      </w:r>
    </w:p>
    <w:p w14:paraId="2B038B2C" w14:textId="77777777" w:rsidR="007C0855" w:rsidRDefault="007C0855" w:rsidP="007C0855">
      <w:pPr>
        <w:pStyle w:val="ListParagraph"/>
        <w:jc w:val="both"/>
        <w:rPr>
          <w:rFonts w:cstheme="minorHAnsi"/>
        </w:rPr>
      </w:pPr>
    </w:p>
    <w:p w14:paraId="41FEEBE1" w14:textId="77777777" w:rsidR="007C0855" w:rsidRPr="003B0158" w:rsidRDefault="007C0855" w:rsidP="007C0855">
      <w:pPr>
        <w:suppressAutoHyphens/>
        <w:autoSpaceDN w:val="0"/>
        <w:jc w:val="both"/>
        <w:textAlignment w:val="baseline"/>
        <w:rPr>
          <w:rFonts w:cstheme="minorBidi"/>
        </w:rPr>
      </w:pPr>
    </w:p>
    <w:p w14:paraId="6BABE8DB" w14:textId="77777777" w:rsidR="007C0855" w:rsidRDefault="007C0855" w:rsidP="007C0855">
      <w:pPr>
        <w:pStyle w:val="ListParagraph"/>
        <w:numPr>
          <w:ilvl w:val="0"/>
          <w:numId w:val="32"/>
        </w:numPr>
        <w:suppressAutoHyphens/>
        <w:autoSpaceDN w:val="0"/>
        <w:jc w:val="both"/>
        <w:textAlignment w:val="baseline"/>
        <w:rPr>
          <w:rFonts w:cstheme="minorHAnsi"/>
          <w:b/>
        </w:rPr>
      </w:pPr>
      <w:r>
        <w:rPr>
          <w:rFonts w:cstheme="minorHAnsi"/>
          <w:b/>
        </w:rPr>
        <w:t>GP Patient Survey</w:t>
      </w:r>
    </w:p>
    <w:p w14:paraId="3D111CC2" w14:textId="77777777" w:rsidR="007C0855" w:rsidRDefault="007C0855" w:rsidP="007C0855">
      <w:pPr>
        <w:pStyle w:val="ListParagraph"/>
        <w:suppressAutoHyphens/>
        <w:autoSpaceDN w:val="0"/>
        <w:ind w:left="360"/>
        <w:jc w:val="both"/>
        <w:textAlignment w:val="baseline"/>
        <w:rPr>
          <w:rFonts w:cstheme="minorHAnsi"/>
          <w:b/>
        </w:rPr>
      </w:pPr>
    </w:p>
    <w:p w14:paraId="54891A6A" w14:textId="77777777" w:rsidR="007C0855" w:rsidRDefault="007C0855" w:rsidP="007C0855">
      <w:pPr>
        <w:suppressAutoHyphens/>
        <w:autoSpaceDN w:val="0"/>
        <w:jc w:val="both"/>
        <w:textAlignment w:val="baseline"/>
        <w:rPr>
          <w:rFonts w:cstheme="minorHAnsi"/>
        </w:rPr>
      </w:pPr>
      <w:r w:rsidRPr="00B825D5">
        <w:rPr>
          <w:rFonts w:cstheme="minorHAnsi"/>
        </w:rPr>
        <w:t xml:space="preserve">The annual </w:t>
      </w:r>
      <w:r>
        <w:rPr>
          <w:rFonts w:cstheme="minorHAnsi"/>
        </w:rPr>
        <w:t xml:space="preserve">Ipsos Mori GP patient survey has been published against the backdrop of the many challenges also noted in this Report, it describes a service still delivering high quality care for the great majority of NHS patients.  Over 750k responses were received.  The headline findings include: </w:t>
      </w:r>
    </w:p>
    <w:p w14:paraId="2AC7297A" w14:textId="77777777" w:rsidR="007C0855" w:rsidRPr="00890A39" w:rsidRDefault="007C0855" w:rsidP="007C0855">
      <w:pPr>
        <w:suppressAutoHyphens/>
        <w:autoSpaceDN w:val="0"/>
        <w:jc w:val="both"/>
        <w:textAlignment w:val="baseline"/>
        <w:rPr>
          <w:rFonts w:cstheme="minorHAnsi"/>
        </w:rPr>
      </w:pPr>
    </w:p>
    <w:p w14:paraId="358F0669" w14:textId="77777777" w:rsidR="007C0855" w:rsidRDefault="007C0855" w:rsidP="007C0855">
      <w:pPr>
        <w:pStyle w:val="ListParagraph"/>
        <w:numPr>
          <w:ilvl w:val="0"/>
          <w:numId w:val="33"/>
        </w:numPr>
        <w:suppressAutoHyphens/>
        <w:autoSpaceDN w:val="0"/>
        <w:jc w:val="both"/>
        <w:textAlignment w:val="baseline"/>
        <w:rPr>
          <w:rFonts w:cstheme="minorHAnsi"/>
        </w:rPr>
      </w:pPr>
      <w:r w:rsidRPr="00890A39">
        <w:rPr>
          <w:rFonts w:cstheme="minorHAnsi"/>
        </w:rPr>
        <w:lastRenderedPageBreak/>
        <w:t>83.8% reported a good overall experience with their GP practice, dipping slightly from 84.8% in 2017</w:t>
      </w:r>
    </w:p>
    <w:p w14:paraId="4AF5C2DC" w14:textId="77777777" w:rsidR="007C0855" w:rsidRDefault="007C0855" w:rsidP="007C0855">
      <w:pPr>
        <w:pStyle w:val="ListParagraph"/>
        <w:suppressAutoHyphens/>
        <w:autoSpaceDN w:val="0"/>
        <w:jc w:val="both"/>
        <w:textAlignment w:val="baseline"/>
        <w:rPr>
          <w:rFonts w:cstheme="minorHAnsi"/>
        </w:rPr>
      </w:pPr>
    </w:p>
    <w:p w14:paraId="51414E28" w14:textId="77777777" w:rsidR="007C0855" w:rsidRDefault="007C0855" w:rsidP="007C0855">
      <w:pPr>
        <w:pStyle w:val="ListParagraph"/>
        <w:numPr>
          <w:ilvl w:val="0"/>
          <w:numId w:val="33"/>
        </w:numPr>
        <w:suppressAutoHyphens/>
        <w:autoSpaceDN w:val="0"/>
        <w:jc w:val="both"/>
        <w:textAlignment w:val="baseline"/>
        <w:rPr>
          <w:rFonts w:cstheme="minorHAnsi"/>
        </w:rPr>
      </w:pPr>
      <w:r>
        <w:rPr>
          <w:rFonts w:cstheme="minorHAnsi"/>
        </w:rPr>
        <w:t xml:space="preserve">96% had confidence and trust in the healthcare professional they saw, (this, as was widely reported at the time, dipped to 92% in 2017), and </w:t>
      </w:r>
    </w:p>
    <w:p w14:paraId="5160455F" w14:textId="77777777" w:rsidR="007C0855" w:rsidRPr="00890A39" w:rsidRDefault="007C0855" w:rsidP="007C0855">
      <w:pPr>
        <w:suppressAutoHyphens/>
        <w:autoSpaceDN w:val="0"/>
        <w:jc w:val="both"/>
        <w:textAlignment w:val="baseline"/>
        <w:rPr>
          <w:rFonts w:cstheme="minorHAnsi"/>
        </w:rPr>
      </w:pPr>
    </w:p>
    <w:p w14:paraId="75523C7A" w14:textId="77777777" w:rsidR="007C0855" w:rsidRDefault="007C0855" w:rsidP="007C0855">
      <w:pPr>
        <w:pStyle w:val="ListParagraph"/>
        <w:numPr>
          <w:ilvl w:val="0"/>
          <w:numId w:val="33"/>
        </w:numPr>
        <w:suppressAutoHyphens/>
        <w:autoSpaceDN w:val="0"/>
        <w:jc w:val="both"/>
        <w:textAlignment w:val="baseline"/>
        <w:rPr>
          <w:rFonts w:cstheme="minorHAnsi"/>
        </w:rPr>
      </w:pPr>
      <w:r>
        <w:rPr>
          <w:rFonts w:cstheme="minorHAnsi"/>
        </w:rPr>
        <w:t>95% felt their needs were met at their last appointment.</w:t>
      </w:r>
    </w:p>
    <w:p w14:paraId="6EE714E5" w14:textId="77777777" w:rsidR="007C0855" w:rsidRPr="00890A39" w:rsidRDefault="007C0855" w:rsidP="007C0855">
      <w:pPr>
        <w:pStyle w:val="ListParagraph"/>
        <w:rPr>
          <w:rFonts w:cstheme="minorHAnsi"/>
        </w:rPr>
      </w:pPr>
    </w:p>
    <w:p w14:paraId="321989B5" w14:textId="77777777" w:rsidR="007C0855" w:rsidRDefault="007C0855" w:rsidP="007C0855">
      <w:pPr>
        <w:suppressAutoHyphens/>
        <w:autoSpaceDN w:val="0"/>
        <w:jc w:val="both"/>
        <w:textAlignment w:val="baseline"/>
        <w:rPr>
          <w:rFonts w:cstheme="minorHAnsi"/>
        </w:rPr>
      </w:pPr>
      <w:r>
        <w:rPr>
          <w:rFonts w:cstheme="minorHAnsi"/>
        </w:rPr>
        <w:t>In terms of access to appointments: -</w:t>
      </w:r>
    </w:p>
    <w:p w14:paraId="18C4A99E" w14:textId="77777777" w:rsidR="007C0855" w:rsidRDefault="007C0855" w:rsidP="007C0855">
      <w:pPr>
        <w:suppressAutoHyphens/>
        <w:autoSpaceDN w:val="0"/>
        <w:jc w:val="both"/>
        <w:textAlignment w:val="baseline"/>
        <w:rPr>
          <w:rFonts w:cstheme="minorHAnsi"/>
        </w:rPr>
      </w:pPr>
    </w:p>
    <w:p w14:paraId="4BABC31A" w14:textId="77777777" w:rsidR="007C0855" w:rsidRDefault="007C0855" w:rsidP="007C0855">
      <w:pPr>
        <w:pStyle w:val="ListParagraph"/>
        <w:numPr>
          <w:ilvl w:val="0"/>
          <w:numId w:val="34"/>
        </w:numPr>
        <w:jc w:val="both"/>
      </w:pPr>
      <w:r w:rsidRPr="00890A39">
        <w:rPr>
          <w:rFonts w:cstheme="minorHAnsi"/>
        </w:rPr>
        <w:t>70% found it easy to get through to their practice by ph</w:t>
      </w:r>
      <w:r>
        <w:rPr>
          <w:rFonts w:cstheme="minorHAnsi"/>
        </w:rPr>
        <w:t>o</w:t>
      </w:r>
      <w:r w:rsidRPr="00890A39">
        <w:rPr>
          <w:rFonts w:cstheme="minorHAnsi"/>
        </w:rPr>
        <w:t xml:space="preserve">ne, </w:t>
      </w:r>
      <w:r>
        <w:t>with</w:t>
      </w:r>
    </w:p>
    <w:p w14:paraId="176898D6" w14:textId="77777777" w:rsidR="007C0855" w:rsidRDefault="007C0855" w:rsidP="007C0855">
      <w:pPr>
        <w:pStyle w:val="ListParagraph"/>
        <w:numPr>
          <w:ilvl w:val="0"/>
          <w:numId w:val="34"/>
        </w:numPr>
        <w:jc w:val="both"/>
      </w:pPr>
      <w:r>
        <w:t xml:space="preserve">62% who accepted an appointment saw or spoke to someone at a time they wanted to or sooner, and </w:t>
      </w:r>
    </w:p>
    <w:p w14:paraId="22BBFBCC" w14:textId="77777777" w:rsidR="007C0855" w:rsidRDefault="007C0855" w:rsidP="007C0855">
      <w:pPr>
        <w:pStyle w:val="ListParagraph"/>
        <w:numPr>
          <w:ilvl w:val="0"/>
          <w:numId w:val="34"/>
        </w:numPr>
        <w:jc w:val="both"/>
      </w:pPr>
      <w:r>
        <w:t>66% who wanted a same day appointment and accepted one, received one.</w:t>
      </w:r>
    </w:p>
    <w:p w14:paraId="20B7817A" w14:textId="77777777" w:rsidR="007C0855" w:rsidRDefault="007C0855" w:rsidP="007C0855">
      <w:pPr>
        <w:pStyle w:val="ListParagraph"/>
        <w:numPr>
          <w:ilvl w:val="0"/>
          <w:numId w:val="34"/>
        </w:numPr>
        <w:jc w:val="both"/>
      </w:pPr>
      <w:r>
        <w:t>54% of patients have a GP they prefer to see (other studies confirm this expression of a preference is statistically higher in the &gt;65s and those with an LTC) and 50% of these always, or much of the time, see their preferred GP when they would like to.</w:t>
      </w:r>
    </w:p>
    <w:p w14:paraId="3AEED9EC" w14:textId="77777777" w:rsidR="007C0855" w:rsidRDefault="007C0855" w:rsidP="007C0855">
      <w:pPr>
        <w:pStyle w:val="ListParagraph"/>
        <w:numPr>
          <w:ilvl w:val="0"/>
          <w:numId w:val="34"/>
        </w:numPr>
        <w:jc w:val="both"/>
      </w:pPr>
      <w:r>
        <w:t>Overall 74% were satisfied with the type of appointment offered, and accepted it</w:t>
      </w:r>
    </w:p>
    <w:p w14:paraId="782AF9D7" w14:textId="77777777" w:rsidR="007C0855" w:rsidRDefault="007C0855" w:rsidP="007C0855">
      <w:pPr>
        <w:pStyle w:val="ListParagraph"/>
        <w:numPr>
          <w:ilvl w:val="0"/>
          <w:numId w:val="34"/>
        </w:numPr>
        <w:jc w:val="both"/>
      </w:pPr>
      <w:r>
        <w:t>10% of patients now book appointments on-line (up from 7.9% in 2016) with 78.5% by phone (down from 85.6% in 2016)</w:t>
      </w:r>
    </w:p>
    <w:p w14:paraId="23BF9568" w14:textId="77777777" w:rsidR="007C0855" w:rsidRDefault="007C0855" w:rsidP="007C0855">
      <w:pPr>
        <w:jc w:val="both"/>
      </w:pPr>
    </w:p>
    <w:p w14:paraId="07D38AA1" w14:textId="77777777" w:rsidR="007C0855" w:rsidRDefault="007C0855" w:rsidP="007C0855">
      <w:pPr>
        <w:jc w:val="both"/>
      </w:pPr>
      <w:r>
        <w:t>Care at their last appointment:</w:t>
      </w:r>
    </w:p>
    <w:p w14:paraId="5979FFC7" w14:textId="77777777" w:rsidR="007C0855" w:rsidRDefault="007C0855" w:rsidP="007C0855">
      <w:pPr>
        <w:jc w:val="both"/>
      </w:pPr>
    </w:p>
    <w:p w14:paraId="38566576" w14:textId="77777777" w:rsidR="007C0855" w:rsidRDefault="007C0855" w:rsidP="007C0855">
      <w:pPr>
        <w:pStyle w:val="ListParagraph"/>
        <w:numPr>
          <w:ilvl w:val="0"/>
          <w:numId w:val="35"/>
        </w:numPr>
        <w:jc w:val="both"/>
      </w:pPr>
      <w:r>
        <w:t>89% of patients reported being involved as much as they wanted to be, with</w:t>
      </w:r>
    </w:p>
    <w:p w14:paraId="657F367B" w14:textId="77777777" w:rsidR="007C0855" w:rsidRDefault="007C0855" w:rsidP="007C0855">
      <w:pPr>
        <w:pStyle w:val="ListParagraph"/>
        <w:numPr>
          <w:ilvl w:val="0"/>
          <w:numId w:val="35"/>
        </w:numPr>
        <w:jc w:val="both"/>
      </w:pPr>
      <w:r>
        <w:t xml:space="preserve">87% saying the healthcare professional had listened to them, given them enough time, and treated them with care and concern. </w:t>
      </w:r>
    </w:p>
    <w:p w14:paraId="5C5A0BFC" w14:textId="77777777" w:rsidR="007C0855" w:rsidRDefault="007C0855" w:rsidP="007C0855">
      <w:pPr>
        <w:ind w:left="360"/>
        <w:jc w:val="both"/>
      </w:pPr>
    </w:p>
    <w:p w14:paraId="058AB3B1" w14:textId="77777777" w:rsidR="007C0855" w:rsidRDefault="007C0855" w:rsidP="007C0855">
      <w:pPr>
        <w:jc w:val="both"/>
      </w:pPr>
      <w:r>
        <w:t xml:space="preserve">In terms of awareness and use of on-line services: </w:t>
      </w:r>
    </w:p>
    <w:p w14:paraId="351C4B6B" w14:textId="77777777" w:rsidR="007C0855" w:rsidRDefault="007C0855" w:rsidP="007C0855">
      <w:pPr>
        <w:jc w:val="both"/>
      </w:pPr>
    </w:p>
    <w:p w14:paraId="1986119A" w14:textId="77777777" w:rsidR="007C0855" w:rsidRDefault="007C0855" w:rsidP="007C0855">
      <w:pPr>
        <w:pStyle w:val="ListParagraph"/>
        <w:numPr>
          <w:ilvl w:val="0"/>
          <w:numId w:val="36"/>
        </w:numPr>
        <w:jc w:val="both"/>
      </w:pPr>
      <w:r>
        <w:t>41% were aware of a system for booking appointments on-line and 13% had done so</w:t>
      </w:r>
    </w:p>
    <w:p w14:paraId="475E1098" w14:textId="77777777" w:rsidR="007C0855" w:rsidRDefault="007C0855" w:rsidP="007C0855">
      <w:pPr>
        <w:pStyle w:val="ListParagraph"/>
        <w:numPr>
          <w:ilvl w:val="0"/>
          <w:numId w:val="36"/>
        </w:numPr>
        <w:jc w:val="both"/>
      </w:pPr>
      <w:r>
        <w:t>38% were aware of a system for ordering repeat prescriptions on-line and 14% had done so</w:t>
      </w:r>
    </w:p>
    <w:p w14:paraId="7EAF7447" w14:textId="77777777" w:rsidR="007C0855" w:rsidRDefault="007C0855" w:rsidP="007C0855">
      <w:pPr>
        <w:pStyle w:val="ListParagraph"/>
        <w:numPr>
          <w:ilvl w:val="0"/>
          <w:numId w:val="36"/>
        </w:numPr>
        <w:jc w:val="both"/>
      </w:pPr>
      <w:r>
        <w:t>13% were aware of a system for accessing medical records-on-line and 3% had done so, and</w:t>
      </w:r>
    </w:p>
    <w:p w14:paraId="2C0CB890" w14:textId="77777777" w:rsidR="007C0855" w:rsidRDefault="007C0855" w:rsidP="007C0855">
      <w:pPr>
        <w:pStyle w:val="ListParagraph"/>
        <w:numPr>
          <w:ilvl w:val="0"/>
          <w:numId w:val="36"/>
        </w:numPr>
        <w:jc w:val="both"/>
      </w:pPr>
      <w:r>
        <w:t xml:space="preserve">overall, 78% reported finding using their GP practice’s website easy. </w:t>
      </w:r>
    </w:p>
    <w:p w14:paraId="7F112E05" w14:textId="77777777" w:rsidR="007C0855" w:rsidRDefault="007C0855" w:rsidP="007C0855">
      <w:pPr>
        <w:pStyle w:val="ListParagraph"/>
        <w:jc w:val="both"/>
      </w:pPr>
    </w:p>
    <w:p w14:paraId="511F817B" w14:textId="77777777" w:rsidR="007C0855" w:rsidRDefault="007C0855" w:rsidP="007C0855">
      <w:pPr>
        <w:pStyle w:val="ListParagraph"/>
        <w:ind w:left="0"/>
        <w:jc w:val="both"/>
      </w:pPr>
      <w:r>
        <w:t>Planning care:</w:t>
      </w:r>
    </w:p>
    <w:p w14:paraId="40B73BB4" w14:textId="77777777" w:rsidR="007C0855" w:rsidRDefault="007C0855" w:rsidP="007C0855">
      <w:pPr>
        <w:pStyle w:val="ListParagraph"/>
        <w:ind w:left="0"/>
        <w:jc w:val="both"/>
      </w:pPr>
    </w:p>
    <w:p w14:paraId="507A3112" w14:textId="77777777" w:rsidR="007C0855" w:rsidRDefault="007C0855" w:rsidP="007C0855">
      <w:pPr>
        <w:pStyle w:val="ListParagraph"/>
        <w:numPr>
          <w:ilvl w:val="0"/>
          <w:numId w:val="37"/>
        </w:numPr>
        <w:jc w:val="both"/>
      </w:pPr>
      <w:r>
        <w:t xml:space="preserve">40% of those with an LTC had spoken to a healthcare professional about managing it, and </w:t>
      </w:r>
    </w:p>
    <w:p w14:paraId="7AB960B8" w14:textId="77777777" w:rsidR="007C0855" w:rsidRDefault="007C0855" w:rsidP="007C0855">
      <w:pPr>
        <w:pStyle w:val="ListParagraph"/>
        <w:numPr>
          <w:ilvl w:val="0"/>
          <w:numId w:val="37"/>
        </w:numPr>
        <w:jc w:val="both"/>
      </w:pPr>
      <w:r>
        <w:t>79% said they had received enough support from local services/organisations</w:t>
      </w:r>
    </w:p>
    <w:p w14:paraId="34C0633D" w14:textId="77777777" w:rsidR="007C0855" w:rsidRDefault="007C0855" w:rsidP="007C0855">
      <w:pPr>
        <w:jc w:val="both"/>
      </w:pPr>
    </w:p>
    <w:p w14:paraId="53ABE051" w14:textId="77777777" w:rsidR="007C0855" w:rsidRDefault="007C0855" w:rsidP="007C0855">
      <w:pPr>
        <w:jc w:val="both"/>
      </w:pPr>
      <w:r>
        <w:t>Of the 5.8% of patients who did not take an offered appointment:</w:t>
      </w:r>
    </w:p>
    <w:p w14:paraId="03C9765F" w14:textId="77777777" w:rsidR="007C0855" w:rsidRDefault="007C0855" w:rsidP="007C0855">
      <w:pPr>
        <w:jc w:val="both"/>
      </w:pPr>
    </w:p>
    <w:p w14:paraId="62CEC00D" w14:textId="77777777" w:rsidR="007C0855" w:rsidRDefault="007C0855" w:rsidP="007C0855">
      <w:pPr>
        <w:pStyle w:val="ListParagraph"/>
        <w:jc w:val="both"/>
      </w:pPr>
      <w:r>
        <w:t>28% didn’t subsequently see or speak to anyone</w:t>
      </w:r>
    </w:p>
    <w:p w14:paraId="30AA8CA3" w14:textId="77777777" w:rsidR="007C0855" w:rsidRDefault="007C0855" w:rsidP="007C0855">
      <w:pPr>
        <w:pStyle w:val="ListParagraph"/>
        <w:jc w:val="both"/>
      </w:pPr>
      <w:r>
        <w:t>22% contacted their practice at another time</w:t>
      </w:r>
    </w:p>
    <w:p w14:paraId="19E221DC" w14:textId="77777777" w:rsidR="007C0855" w:rsidRDefault="007C0855" w:rsidP="007C0855">
      <w:pPr>
        <w:pStyle w:val="ListParagraph"/>
        <w:jc w:val="both"/>
      </w:pPr>
      <w:r>
        <w:t>14% got an appointment on another day</w:t>
      </w:r>
    </w:p>
    <w:p w14:paraId="1339A3D4" w14:textId="77777777" w:rsidR="007C0855" w:rsidRDefault="007C0855" w:rsidP="007C0855">
      <w:pPr>
        <w:pStyle w:val="ListParagraph"/>
        <w:jc w:val="both"/>
      </w:pPr>
      <w:r>
        <w:t>11% looked for information on-line</w:t>
      </w:r>
    </w:p>
    <w:p w14:paraId="254ECA9E" w14:textId="77777777" w:rsidR="007C0855" w:rsidRDefault="007C0855" w:rsidP="007C0855">
      <w:pPr>
        <w:pStyle w:val="ListParagraph"/>
        <w:jc w:val="both"/>
      </w:pPr>
      <w:r>
        <w:t>11% went to an Accident and Emergency Department</w:t>
      </w:r>
    </w:p>
    <w:p w14:paraId="5ABFD7A1" w14:textId="77777777" w:rsidR="007C0855" w:rsidRDefault="007C0855" w:rsidP="007C0855">
      <w:pPr>
        <w:pStyle w:val="ListParagraph"/>
        <w:jc w:val="both"/>
      </w:pPr>
      <w:r>
        <w:t>11% contacted or went to another NHS service (OOHs, WIC, MIU)</w:t>
      </w:r>
    </w:p>
    <w:p w14:paraId="0CC0193A" w14:textId="77777777" w:rsidR="007C0855" w:rsidRDefault="007C0855" w:rsidP="007C0855">
      <w:pPr>
        <w:pStyle w:val="ListParagraph"/>
        <w:jc w:val="both"/>
      </w:pPr>
      <w:r>
        <w:lastRenderedPageBreak/>
        <w:t>11% spoke to a friend or family member</w:t>
      </w:r>
    </w:p>
    <w:p w14:paraId="40948276" w14:textId="77777777" w:rsidR="007C0855" w:rsidRDefault="007C0855" w:rsidP="007C0855">
      <w:pPr>
        <w:pStyle w:val="ListParagraph"/>
        <w:jc w:val="both"/>
      </w:pPr>
      <w:r>
        <w:t>10% spoke to a pharmacist</w:t>
      </w:r>
    </w:p>
    <w:p w14:paraId="1C5DD225" w14:textId="77777777" w:rsidR="007C0855" w:rsidRDefault="007C0855" w:rsidP="007C0855">
      <w:pPr>
        <w:pStyle w:val="ListParagraph"/>
        <w:jc w:val="both"/>
      </w:pPr>
      <w:r>
        <w:t xml:space="preserve"> 7% rang 111</w:t>
      </w:r>
    </w:p>
    <w:p w14:paraId="565390C9" w14:textId="77777777" w:rsidR="007C0855" w:rsidRDefault="007C0855" w:rsidP="007C0855">
      <w:pPr>
        <w:pStyle w:val="ListParagraph"/>
        <w:jc w:val="both"/>
      </w:pPr>
    </w:p>
    <w:p w14:paraId="5EE64376" w14:textId="77777777" w:rsidR="007C0855" w:rsidRDefault="007C0855" w:rsidP="007C0855">
      <w:pPr>
        <w:jc w:val="both"/>
      </w:pPr>
      <w:r>
        <w:t>with some doing more than one of these alternatives.</w:t>
      </w:r>
    </w:p>
    <w:p w14:paraId="42B6FAE8" w14:textId="77777777" w:rsidR="007C0855" w:rsidRDefault="007C0855" w:rsidP="007C0855"/>
    <w:p w14:paraId="00C4657C" w14:textId="77777777" w:rsidR="007C0855" w:rsidRDefault="007C0855" w:rsidP="007C0855">
      <w:pPr>
        <w:rPr>
          <w:rFonts w:ascii="Calibri" w:hAnsi="Calibri"/>
          <w:sz w:val="28"/>
          <w:szCs w:val="28"/>
        </w:rPr>
      </w:pPr>
      <w:r>
        <w:t xml:space="preserve">Further details of the 2018 GP Survey are available at: - </w:t>
      </w:r>
      <w:hyperlink r:id="rId15" w:history="1">
        <w:r>
          <w:rPr>
            <w:rStyle w:val="Hyperlink"/>
          </w:rPr>
          <w:t>https://gp-patient.co.uk/surveysandreports</w:t>
        </w:r>
      </w:hyperlink>
    </w:p>
    <w:p w14:paraId="0975F94D" w14:textId="77777777" w:rsidR="007C0855" w:rsidRDefault="007C0855" w:rsidP="007C0855"/>
    <w:p w14:paraId="0DE9BBBE" w14:textId="77777777" w:rsidR="007C0855" w:rsidRPr="00664FA5" w:rsidRDefault="007C0855" w:rsidP="007C0855">
      <w:pPr>
        <w:pStyle w:val="ListParagraph"/>
        <w:numPr>
          <w:ilvl w:val="0"/>
          <w:numId w:val="32"/>
        </w:numPr>
        <w:jc w:val="both"/>
        <w:rPr>
          <w:rFonts w:cstheme="minorHAnsi"/>
          <w:b/>
        </w:rPr>
      </w:pPr>
      <w:r w:rsidRPr="004C55F4">
        <w:rPr>
          <w:rFonts w:cstheme="minorHAnsi"/>
          <w:b/>
        </w:rPr>
        <w:t xml:space="preserve">Central Alerting System (CAS) </w:t>
      </w:r>
      <w:r w:rsidRPr="00664FA5">
        <w:rPr>
          <w:rFonts w:cstheme="minorHAnsi"/>
          <w:b/>
        </w:rPr>
        <w:t xml:space="preserve">notice about </w:t>
      </w:r>
      <w:proofErr w:type="spellStart"/>
      <w:r>
        <w:rPr>
          <w:rFonts w:cstheme="minorHAnsi"/>
          <w:b/>
        </w:rPr>
        <w:t>Doc</w:t>
      </w:r>
      <w:r w:rsidRPr="00664FA5">
        <w:rPr>
          <w:rFonts w:cstheme="minorHAnsi"/>
          <w:b/>
        </w:rPr>
        <w:t>man</w:t>
      </w:r>
      <w:proofErr w:type="spellEnd"/>
      <w:r w:rsidRPr="00664FA5">
        <w:rPr>
          <w:rFonts w:cstheme="minorHAnsi"/>
          <w:b/>
        </w:rPr>
        <w:t xml:space="preserve"> software (Version 7) with Electronic Document Transfer (EDT) enabled.</w:t>
      </w:r>
    </w:p>
    <w:p w14:paraId="5AD432EA" w14:textId="77777777" w:rsidR="007C0855" w:rsidRDefault="007C0855" w:rsidP="007C0855">
      <w:pPr>
        <w:pStyle w:val="ListParagraph"/>
        <w:ind w:left="360"/>
        <w:jc w:val="both"/>
        <w:rPr>
          <w:rFonts w:cstheme="minorHAnsi"/>
          <w:b/>
        </w:rPr>
      </w:pPr>
    </w:p>
    <w:p w14:paraId="19B216C3" w14:textId="77777777" w:rsidR="007C0855" w:rsidRDefault="007C0855" w:rsidP="007C0855">
      <w:pPr>
        <w:pStyle w:val="ListParagraph"/>
        <w:ind w:left="0"/>
        <w:jc w:val="both"/>
        <w:rPr>
          <w:rFonts w:cstheme="minorHAnsi"/>
        </w:rPr>
      </w:pPr>
      <w:r>
        <w:rPr>
          <w:rFonts w:cstheme="minorHAnsi"/>
        </w:rPr>
        <w:t xml:space="preserve">I wrote to all practices about this issue following the identification of a serious incident in which practices using the current (or historic) </w:t>
      </w:r>
      <w:proofErr w:type="spellStart"/>
      <w:r>
        <w:rPr>
          <w:rFonts w:cstheme="minorHAnsi"/>
        </w:rPr>
        <w:t>Docman</w:t>
      </w:r>
      <w:proofErr w:type="spellEnd"/>
      <w:r>
        <w:rPr>
          <w:rFonts w:cstheme="minorHAnsi"/>
        </w:rPr>
        <w:t xml:space="preserve"> configuration as above may have “unprocessed folders” in which patient related correspondence may exist which has not been successfully transferred to an identified patient record.  NHS England believe they have identified all practices to whom this applies and have contacted them asking to check whether such unprocessed folders exist, and, if so, the number.  NHS England have provided software which will enable practices to eliminate duplicate unprocessed folders.  As a second step practices are being asked to review such folders and identify and categorise any incidents in which patients may have come to harm.  However, as will be apparent to colleagues, this process may require more clinical support than is available: the LMC recommends practices in this situation (or who experience any IT difficulties) contact their CCG Lead for advice, as well as the LMC.</w:t>
      </w:r>
    </w:p>
    <w:p w14:paraId="601FE73E" w14:textId="77777777" w:rsidR="007C0855" w:rsidRDefault="007C0855" w:rsidP="007C0855">
      <w:pPr>
        <w:pStyle w:val="ListParagraph"/>
        <w:ind w:left="0"/>
        <w:jc w:val="both"/>
        <w:rPr>
          <w:rFonts w:cstheme="minorHAnsi"/>
        </w:rPr>
      </w:pPr>
    </w:p>
    <w:p w14:paraId="42F71C66" w14:textId="77777777" w:rsidR="007C0855" w:rsidRDefault="007C0855" w:rsidP="007C0855">
      <w:pPr>
        <w:pStyle w:val="ListParagraph"/>
        <w:ind w:left="0"/>
        <w:jc w:val="both"/>
        <w:rPr>
          <w:rFonts w:cstheme="minorHAnsi"/>
        </w:rPr>
      </w:pPr>
      <w:r>
        <w:rPr>
          <w:rFonts w:cstheme="minorHAnsi"/>
        </w:rPr>
        <w:t xml:space="preserve">A second, more limited issue has arisen with TPP </w:t>
      </w:r>
      <w:proofErr w:type="spellStart"/>
      <w:r>
        <w:rPr>
          <w:rFonts w:cstheme="minorHAnsi"/>
        </w:rPr>
        <w:t>SystmOne</w:t>
      </w:r>
      <w:proofErr w:type="spellEnd"/>
      <w:r>
        <w:rPr>
          <w:rFonts w:cstheme="minorHAnsi"/>
        </w:rPr>
        <w:t xml:space="preserve"> in which practices using this provider system have been advised not all medication allergies/sensitivities have been properly recorded. This has now been addressed, but practices were provided with a list of patient records to review.</w:t>
      </w:r>
    </w:p>
    <w:p w14:paraId="1D095DF5" w14:textId="77777777" w:rsidR="007C0855" w:rsidRDefault="007C0855" w:rsidP="007C0855">
      <w:pPr>
        <w:pStyle w:val="ListParagraph"/>
        <w:ind w:left="0"/>
        <w:jc w:val="both"/>
        <w:rPr>
          <w:rFonts w:cstheme="minorHAnsi"/>
        </w:rPr>
      </w:pPr>
    </w:p>
    <w:p w14:paraId="0B663EDF" w14:textId="77777777" w:rsidR="007C0855" w:rsidRDefault="007C0855" w:rsidP="007C0855">
      <w:pPr>
        <w:pStyle w:val="ListParagraph"/>
        <w:ind w:left="0"/>
        <w:jc w:val="both"/>
        <w:rPr>
          <w:rFonts w:cstheme="minorHAnsi"/>
        </w:rPr>
      </w:pPr>
      <w:r>
        <w:rPr>
          <w:rFonts w:cstheme="minorHAnsi"/>
        </w:rPr>
        <w:t xml:space="preserve">It will be apparent that GP practices are facing workload implications </w:t>
      </w:r>
      <w:proofErr w:type="gramStart"/>
      <w:r>
        <w:rPr>
          <w:rFonts w:cstheme="minorHAnsi"/>
        </w:rPr>
        <w:t>as a result of</w:t>
      </w:r>
      <w:proofErr w:type="gramEnd"/>
      <w:r>
        <w:rPr>
          <w:rFonts w:cstheme="minorHAnsi"/>
        </w:rPr>
        <w:t xml:space="preserve"> IT or other organisational errors: GPC have agreed with NHS England to identify the scale of work involved, in relation to the </w:t>
      </w:r>
      <w:proofErr w:type="spellStart"/>
      <w:r>
        <w:rPr>
          <w:rFonts w:cstheme="minorHAnsi"/>
        </w:rPr>
        <w:t>Docman</w:t>
      </w:r>
      <w:proofErr w:type="spellEnd"/>
      <w:r>
        <w:rPr>
          <w:rFonts w:cstheme="minorHAnsi"/>
        </w:rPr>
        <w:t xml:space="preserve"> issue, and use this as a template to calculate appropriate remuneration.</w:t>
      </w:r>
    </w:p>
    <w:p w14:paraId="6C86B3B2" w14:textId="77777777" w:rsidR="007C0855" w:rsidRDefault="007C0855" w:rsidP="007C0855">
      <w:pPr>
        <w:pStyle w:val="ListParagraph"/>
        <w:ind w:left="0"/>
        <w:jc w:val="both"/>
        <w:rPr>
          <w:rFonts w:cstheme="minorHAnsi"/>
        </w:rPr>
      </w:pPr>
    </w:p>
    <w:p w14:paraId="06A8A6D5" w14:textId="77777777" w:rsidR="007C0855" w:rsidRPr="004C55F4" w:rsidRDefault="007C0855" w:rsidP="007C0855">
      <w:pPr>
        <w:pStyle w:val="ListParagraph"/>
        <w:ind w:left="0"/>
        <w:jc w:val="both"/>
        <w:rPr>
          <w:rFonts w:cstheme="minorHAnsi"/>
        </w:rPr>
      </w:pPr>
      <w:r>
        <w:rPr>
          <w:rFonts w:cstheme="minorHAnsi"/>
        </w:rPr>
        <w:t>However, GPCs IT Lead has also used relevant extracts from GMC’s ‘Good Medical Practice’ to indicate, once GPs are aware of this problem, they have a professional responsibility to address it.  The LMC will provide further advice on this.</w:t>
      </w:r>
    </w:p>
    <w:p w14:paraId="0F14F3E7" w14:textId="77777777" w:rsidR="007C0855" w:rsidRDefault="007C0855" w:rsidP="007C0855">
      <w:pPr>
        <w:jc w:val="both"/>
        <w:rPr>
          <w:rFonts w:cstheme="minorHAnsi"/>
        </w:rPr>
      </w:pPr>
    </w:p>
    <w:p w14:paraId="31DD9313" w14:textId="77777777" w:rsidR="007C0855" w:rsidRDefault="007C0855" w:rsidP="007C0855">
      <w:pPr>
        <w:pStyle w:val="ListParagraph"/>
        <w:ind w:left="357"/>
        <w:rPr>
          <w:b/>
        </w:rPr>
      </w:pPr>
    </w:p>
    <w:p w14:paraId="1C60158C" w14:textId="77777777" w:rsidR="007C0855" w:rsidRPr="00232F94" w:rsidRDefault="007C0855" w:rsidP="007C0855">
      <w:pPr>
        <w:pStyle w:val="ListParagraph"/>
        <w:numPr>
          <w:ilvl w:val="0"/>
          <w:numId w:val="32"/>
        </w:numPr>
      </w:pPr>
      <w:r>
        <w:rPr>
          <w:b/>
        </w:rPr>
        <w:t xml:space="preserve">Dr </w:t>
      </w:r>
      <w:proofErr w:type="spellStart"/>
      <w:r>
        <w:rPr>
          <w:b/>
        </w:rPr>
        <w:t>Bawa-Garba</w:t>
      </w:r>
      <w:proofErr w:type="spellEnd"/>
      <w:r>
        <w:rPr>
          <w:b/>
        </w:rPr>
        <w:t xml:space="preserve"> Appeal</w:t>
      </w:r>
    </w:p>
    <w:p w14:paraId="2D2766F0" w14:textId="77777777" w:rsidR="007C0855" w:rsidRDefault="007C0855" w:rsidP="007C0855">
      <w:pPr>
        <w:jc w:val="both"/>
      </w:pPr>
    </w:p>
    <w:p w14:paraId="5BA4DF2D" w14:textId="77777777" w:rsidR="007C0855" w:rsidRDefault="007C0855" w:rsidP="007C0855">
      <w:pPr>
        <w:jc w:val="both"/>
      </w:pPr>
      <w:r>
        <w:t xml:space="preserve">I am sure many colleagues will be aware that following Dr </w:t>
      </w:r>
      <w:proofErr w:type="spellStart"/>
      <w:r>
        <w:t>Bawa-Garba’s</w:t>
      </w:r>
      <w:proofErr w:type="spellEnd"/>
      <w:r>
        <w:t xml:space="preserve"> appeal, supported by the BMA as an ‘interested party’, the Court of Appeal has overturned the High Court decision to erase her from the Medical Register and has reinstated the original MPTS Tribunal decision to suspend her for twelve months: the BMA has strongly supported the MPTS role as the right regulatory body to make final decisions on doctors’ futures, as only they have the opportunity to hear and consider all the evidence involved.</w:t>
      </w:r>
    </w:p>
    <w:p w14:paraId="5F12A0F4" w14:textId="77777777" w:rsidR="007C0855" w:rsidRDefault="007C0855" w:rsidP="007C0855">
      <w:pPr>
        <w:jc w:val="both"/>
      </w:pPr>
    </w:p>
    <w:p w14:paraId="68B5A826" w14:textId="77777777" w:rsidR="007C0855" w:rsidRDefault="007C0855" w:rsidP="007C0855">
      <w:pPr>
        <w:jc w:val="both"/>
      </w:pPr>
      <w:r>
        <w:lastRenderedPageBreak/>
        <w:t xml:space="preserve">The decision has placed a spot-light on the GMC’s reputation amongst the medical profession with the Government accepting the view that the GMC’s right to appeal MPTS decisions should be removed. </w:t>
      </w:r>
    </w:p>
    <w:p w14:paraId="1C00AF25" w14:textId="77777777" w:rsidR="007C0855" w:rsidRDefault="007C0855" w:rsidP="007C0855"/>
    <w:p w14:paraId="50CC36FA" w14:textId="407FD789" w:rsidR="007C35CE" w:rsidRPr="007C35CE" w:rsidRDefault="007C35CE" w:rsidP="007C35CE">
      <w:pPr>
        <w:pStyle w:val="ListParagraph"/>
        <w:numPr>
          <w:ilvl w:val="0"/>
          <w:numId w:val="32"/>
        </w:numPr>
        <w:suppressAutoHyphens/>
        <w:autoSpaceDN w:val="0"/>
        <w:jc w:val="both"/>
        <w:textAlignment w:val="baseline"/>
        <w:rPr>
          <w:rFonts w:cstheme="minorBidi"/>
          <w:b/>
        </w:rPr>
      </w:pPr>
      <w:r w:rsidRPr="007C35CE">
        <w:rPr>
          <w:rFonts w:cstheme="minorBidi"/>
          <w:b/>
        </w:rPr>
        <w:t>Pensions Contributions Review</w:t>
      </w:r>
    </w:p>
    <w:p w14:paraId="4565F45B" w14:textId="77777777" w:rsidR="007C35CE" w:rsidRDefault="007C35CE" w:rsidP="007C35CE">
      <w:pPr>
        <w:suppressAutoHyphens/>
        <w:autoSpaceDN w:val="0"/>
        <w:jc w:val="both"/>
        <w:textAlignment w:val="baseline"/>
        <w:rPr>
          <w:rFonts w:cstheme="minorBidi"/>
          <w:b/>
        </w:rPr>
      </w:pPr>
    </w:p>
    <w:p w14:paraId="735C113C" w14:textId="77777777" w:rsidR="007C35CE" w:rsidRDefault="007C35CE" w:rsidP="007C35CE">
      <w:pPr>
        <w:suppressAutoHyphens/>
        <w:autoSpaceDN w:val="0"/>
        <w:jc w:val="both"/>
        <w:textAlignment w:val="baseline"/>
        <w:rPr>
          <w:rFonts w:cstheme="minorBidi"/>
        </w:rPr>
      </w:pPr>
      <w:r w:rsidRPr="00CB689F">
        <w:rPr>
          <w:rFonts w:cstheme="minorBidi"/>
        </w:rPr>
        <w:t>I have circulat</w:t>
      </w:r>
      <w:r>
        <w:rPr>
          <w:rFonts w:cstheme="minorBidi"/>
        </w:rPr>
        <w:t>e</w:t>
      </w:r>
      <w:r w:rsidRPr="00CB689F">
        <w:rPr>
          <w:rFonts w:cstheme="minorBidi"/>
        </w:rPr>
        <w:t xml:space="preserve">d to all practices a recent announcement that, following an NHS England quality assurance review, a small sample of </w:t>
      </w:r>
      <w:r>
        <w:rPr>
          <w:rFonts w:cstheme="minorBidi"/>
        </w:rPr>
        <w:t>cas</w:t>
      </w:r>
      <w:r w:rsidRPr="00CB689F">
        <w:rPr>
          <w:rFonts w:cstheme="minorBidi"/>
        </w:rPr>
        <w:t>es revealed discrepancies</w:t>
      </w:r>
      <w:r>
        <w:rPr>
          <w:rFonts w:cstheme="minorBidi"/>
        </w:rPr>
        <w:t xml:space="preserve"> in PCSE submissions of GP pension contributions to the NHS Business Services Authority (which administrates NHS Pensions).  </w:t>
      </w:r>
      <w:proofErr w:type="gramStart"/>
      <w:r>
        <w:rPr>
          <w:rFonts w:cstheme="minorBidi"/>
        </w:rPr>
        <w:t>As a result of</w:t>
      </w:r>
      <w:proofErr w:type="gramEnd"/>
      <w:r>
        <w:rPr>
          <w:rFonts w:cstheme="minorBidi"/>
        </w:rPr>
        <w:t xml:space="preserve"> this a wider review will take place, focussing initially on GPs close to retirement (age 56 and over), those who have recently retired, and those who have died in service.</w:t>
      </w:r>
    </w:p>
    <w:p w14:paraId="2E0E2442" w14:textId="77777777" w:rsidR="007C35CE" w:rsidRDefault="007C35CE" w:rsidP="007C35CE">
      <w:pPr>
        <w:suppressAutoHyphens/>
        <w:autoSpaceDN w:val="0"/>
        <w:jc w:val="both"/>
        <w:textAlignment w:val="baseline"/>
        <w:rPr>
          <w:rFonts w:cstheme="minorBidi"/>
        </w:rPr>
      </w:pPr>
    </w:p>
    <w:p w14:paraId="6F91BC62" w14:textId="77777777" w:rsidR="007C35CE" w:rsidRDefault="007C35CE" w:rsidP="007C35CE">
      <w:pPr>
        <w:suppressAutoHyphens/>
        <w:autoSpaceDN w:val="0"/>
        <w:jc w:val="both"/>
        <w:textAlignment w:val="baseline"/>
        <w:rPr>
          <w:rFonts w:cstheme="minorBidi"/>
        </w:rPr>
      </w:pPr>
      <w:r>
        <w:rPr>
          <w:rFonts w:cstheme="minorBidi"/>
        </w:rPr>
        <w:t xml:space="preserve">If any discrepancies are identified, </w:t>
      </w:r>
      <w:proofErr w:type="gramStart"/>
      <w:r>
        <w:rPr>
          <w:rFonts w:cstheme="minorBidi"/>
        </w:rPr>
        <w:t>the  individual</w:t>
      </w:r>
      <w:proofErr w:type="gramEnd"/>
      <w:r>
        <w:rPr>
          <w:rFonts w:cstheme="minorBidi"/>
        </w:rPr>
        <w:t xml:space="preserve"> doctor will be contacted.</w:t>
      </w:r>
    </w:p>
    <w:p w14:paraId="44F4F596" w14:textId="77777777" w:rsidR="007C35CE" w:rsidRDefault="007C35CE" w:rsidP="007C35CE">
      <w:pPr>
        <w:suppressAutoHyphens/>
        <w:autoSpaceDN w:val="0"/>
        <w:jc w:val="both"/>
        <w:textAlignment w:val="baseline"/>
        <w:rPr>
          <w:rFonts w:cstheme="minorBidi"/>
        </w:rPr>
      </w:pPr>
    </w:p>
    <w:p w14:paraId="047E4A3F" w14:textId="77777777" w:rsidR="007C35CE" w:rsidRDefault="007C35CE" w:rsidP="007C35CE">
      <w:pPr>
        <w:suppressAutoHyphens/>
        <w:autoSpaceDN w:val="0"/>
        <w:jc w:val="both"/>
        <w:textAlignment w:val="baseline"/>
        <w:rPr>
          <w:rFonts w:cstheme="minorBidi"/>
        </w:rPr>
      </w:pPr>
      <w:r>
        <w:rPr>
          <w:rFonts w:cstheme="minorBidi"/>
        </w:rPr>
        <w:t>Clearly, as NHS England and PCSE are aware, this is a significant reputational issue that has the potential to further undermine GP morale, and an external expert is supporting the PCSE review.</w:t>
      </w:r>
    </w:p>
    <w:p w14:paraId="7BF302B0" w14:textId="77777777" w:rsidR="007C35CE" w:rsidRDefault="007C35CE" w:rsidP="007C35CE">
      <w:pPr>
        <w:suppressAutoHyphens/>
        <w:autoSpaceDN w:val="0"/>
        <w:jc w:val="both"/>
        <w:textAlignment w:val="baseline"/>
        <w:rPr>
          <w:rFonts w:cstheme="minorBidi"/>
        </w:rPr>
      </w:pPr>
    </w:p>
    <w:p w14:paraId="27D109FB" w14:textId="28966CF5" w:rsidR="007C0855" w:rsidRPr="007C35CE" w:rsidRDefault="007C0855" w:rsidP="007C35CE">
      <w:pPr>
        <w:pStyle w:val="ListParagraph"/>
        <w:numPr>
          <w:ilvl w:val="0"/>
          <w:numId w:val="32"/>
        </w:numPr>
        <w:rPr>
          <w:b/>
        </w:rPr>
      </w:pPr>
      <w:r w:rsidRPr="007C35CE">
        <w:rPr>
          <w:b/>
        </w:rPr>
        <w:t>DDRB Announcement</w:t>
      </w:r>
    </w:p>
    <w:p w14:paraId="1978A40C" w14:textId="77777777" w:rsidR="007C0855" w:rsidRDefault="007C0855" w:rsidP="007C0855"/>
    <w:p w14:paraId="443A2D3C" w14:textId="77777777" w:rsidR="007C0855" w:rsidRDefault="007C0855" w:rsidP="007C0855">
      <w:r>
        <w:t xml:space="preserve">As Colleagues will be aware, the DDRB has finally reported and the Government has announced pay awards for staff covered by the DDRB.  I have written to all practices outlining this </w:t>
      </w:r>
      <w:proofErr w:type="gramStart"/>
      <w:r>
        <w:t>and also</w:t>
      </w:r>
      <w:proofErr w:type="gramEnd"/>
      <w:r>
        <w:t xml:space="preserve"> the concerns associated with the outcome.</w:t>
      </w:r>
    </w:p>
    <w:p w14:paraId="06E63E94" w14:textId="77777777" w:rsidR="007C0855" w:rsidRDefault="007C0855" w:rsidP="007C0855"/>
    <w:p w14:paraId="49FB56D5" w14:textId="77777777" w:rsidR="007C0855" w:rsidRDefault="007C0855" w:rsidP="007C0855">
      <w:r>
        <w:t>In summary, a further 1% uplift is being added to the Global Sum, which will rise to £88.96 with the OOHs deduction remaining at 4.87% (£4.33).  The previous formula uplift, which distributed a DDRB Award within the three national contract reimbursements (Global Sum, QOF and DESs) has not been applied and the GPC has, contrary to verbal discussion at the time, not veered a portion of the DDRB award to uplift non SFE contract immunisation payments.  There are phased increases to the salaried doctors pay scale (2%), trainers grant (3%) and appraisers fees (3%).</w:t>
      </w:r>
    </w:p>
    <w:p w14:paraId="4A3F0384" w14:textId="77777777" w:rsidR="007C0855" w:rsidRDefault="007C0855" w:rsidP="007C0855"/>
    <w:p w14:paraId="6E76CC7F" w14:textId="77777777" w:rsidR="007C0855" w:rsidRDefault="007C0855" w:rsidP="007C0855">
      <w:r>
        <w:t xml:space="preserve">The DDRB Report clearly accepted the concerns expressed about GP workload, recruitment and retention and NHS England’s apparent expectations of General </w:t>
      </w:r>
      <w:proofErr w:type="gramStart"/>
      <w:r>
        <w:t>Practice, and</w:t>
      </w:r>
      <w:proofErr w:type="gramEnd"/>
      <w:r>
        <w:t xml:space="preserve"> recommended a 4% uplift net of expenses.</w:t>
      </w:r>
    </w:p>
    <w:p w14:paraId="5E901367" w14:textId="77777777" w:rsidR="007C0855" w:rsidRDefault="007C0855" w:rsidP="007C0855"/>
    <w:p w14:paraId="58454C94" w14:textId="75C777EE" w:rsidR="007C0855" w:rsidRDefault="007C0855" w:rsidP="007C0855">
      <w:r>
        <w:t xml:space="preserve">The new </w:t>
      </w:r>
      <w:proofErr w:type="spellStart"/>
      <w:r>
        <w:t>SoS</w:t>
      </w:r>
      <w:proofErr w:type="spellEnd"/>
      <w:r>
        <w:t xml:space="preserve"> did offer a further 1% uplift in 2019/20 depending on contract negotiations; however, this is contingent on, at present, the unknown.</w:t>
      </w:r>
    </w:p>
    <w:p w14:paraId="0050E72B" w14:textId="3AC0F9EB" w:rsidR="007C0855" w:rsidRDefault="007C0855" w:rsidP="007C0855"/>
    <w:p w14:paraId="7E894440" w14:textId="329B6897" w:rsidR="007C0855" w:rsidRPr="007C35CE" w:rsidRDefault="007C0855" w:rsidP="007C35CE">
      <w:pPr>
        <w:pStyle w:val="ListParagraph"/>
        <w:numPr>
          <w:ilvl w:val="0"/>
          <w:numId w:val="32"/>
        </w:numPr>
        <w:suppressAutoHyphens/>
        <w:autoSpaceDN w:val="0"/>
        <w:jc w:val="both"/>
        <w:textAlignment w:val="baseline"/>
        <w:rPr>
          <w:rFonts w:cstheme="minorBidi"/>
          <w:b/>
        </w:rPr>
      </w:pPr>
      <w:r w:rsidRPr="007C35CE">
        <w:rPr>
          <w:rFonts w:cstheme="minorBidi"/>
          <w:b/>
        </w:rPr>
        <w:t>SARs</w:t>
      </w:r>
    </w:p>
    <w:p w14:paraId="730C3F3C" w14:textId="77777777" w:rsidR="007C0855" w:rsidRDefault="007C0855" w:rsidP="007C0855">
      <w:pPr>
        <w:suppressAutoHyphens/>
        <w:autoSpaceDN w:val="0"/>
        <w:jc w:val="both"/>
        <w:textAlignment w:val="baseline"/>
        <w:rPr>
          <w:rFonts w:cstheme="minorBidi"/>
          <w:b/>
        </w:rPr>
      </w:pPr>
    </w:p>
    <w:p w14:paraId="37E2E7E5" w14:textId="77777777" w:rsidR="007C0855" w:rsidRDefault="007C0855" w:rsidP="007C0855">
      <w:pPr>
        <w:suppressAutoHyphens/>
        <w:autoSpaceDN w:val="0"/>
        <w:jc w:val="both"/>
        <w:textAlignment w:val="baseline"/>
        <w:rPr>
          <w:rFonts w:cstheme="minorBidi"/>
        </w:rPr>
      </w:pPr>
      <w:r>
        <w:rPr>
          <w:rFonts w:cstheme="minorBidi"/>
        </w:rPr>
        <w:t xml:space="preserve">The LMC has been advised the original expectations that GDPR would preclude solicitors asking for SARs was incorrect; having taken legal advice, the BMA has advised that solicitors [and third-party claims and notes review intermediaries] can submit SARs which must be treated by practices as if they were submitted by the patient directly.  That the </w:t>
      </w:r>
      <w:proofErr w:type="gramStart"/>
      <w:r>
        <w:rPr>
          <w:rFonts w:cstheme="minorBidi"/>
        </w:rPr>
        <w:t>underlying purpose</w:t>
      </w:r>
      <w:proofErr w:type="gramEnd"/>
      <w:r>
        <w:rPr>
          <w:rFonts w:cstheme="minorBidi"/>
        </w:rPr>
        <w:t xml:space="preserve"> of the SAR, in such a case, is to support a legal claim rather than to obtain a copy of electronically held records and verify it accuracy and completeness, cannot be considered.  This is causing significant difficulties to practices and the GPC regards this as an increasing and unfunded workload.  A comprehensive survey of practices about this issue is to be circulated soon.</w:t>
      </w:r>
    </w:p>
    <w:p w14:paraId="16E702DA" w14:textId="77777777" w:rsidR="007C0855" w:rsidRDefault="007C0855" w:rsidP="007C0855">
      <w:pPr>
        <w:suppressAutoHyphens/>
        <w:autoSpaceDN w:val="0"/>
        <w:jc w:val="both"/>
        <w:textAlignment w:val="baseline"/>
        <w:rPr>
          <w:rFonts w:cstheme="minorBidi"/>
        </w:rPr>
      </w:pPr>
    </w:p>
    <w:p w14:paraId="07711C2B" w14:textId="77777777" w:rsidR="007C0855" w:rsidRPr="007C0855" w:rsidRDefault="007C0855" w:rsidP="007C35CE">
      <w:pPr>
        <w:pStyle w:val="ListParagraph"/>
        <w:numPr>
          <w:ilvl w:val="0"/>
          <w:numId w:val="32"/>
        </w:numPr>
        <w:rPr>
          <w:b/>
        </w:rPr>
      </w:pPr>
      <w:r w:rsidRPr="007C0855">
        <w:rPr>
          <w:b/>
        </w:rPr>
        <w:lastRenderedPageBreak/>
        <w:t>NHS England Consultation on ‘Digital-First’ primary care and QOF</w:t>
      </w:r>
    </w:p>
    <w:p w14:paraId="19525D63" w14:textId="77777777" w:rsidR="007C0855" w:rsidRDefault="007C0855" w:rsidP="007C0855">
      <w:pPr>
        <w:rPr>
          <w:b/>
        </w:rPr>
      </w:pPr>
    </w:p>
    <w:p w14:paraId="07D5688C" w14:textId="77777777" w:rsidR="007C0855" w:rsidRDefault="007C0855" w:rsidP="007C0855">
      <w:pPr>
        <w:jc w:val="both"/>
      </w:pPr>
      <w:r>
        <w:t xml:space="preserve">NHS England have published two consultations relating to the GP Contract and I have written to all practices giving a summary of these.  </w:t>
      </w:r>
    </w:p>
    <w:p w14:paraId="21188493" w14:textId="77777777" w:rsidR="007C0855" w:rsidRDefault="007C0855" w:rsidP="007C0855">
      <w:pPr>
        <w:jc w:val="both"/>
      </w:pPr>
    </w:p>
    <w:p w14:paraId="44A2BA58" w14:textId="77777777" w:rsidR="007C0855" w:rsidRDefault="007C0855" w:rsidP="007C0855">
      <w:pPr>
        <w:jc w:val="both"/>
      </w:pPr>
      <w:r>
        <w:t>In terms of QOF, the consultation follows an NHS England QOF review, at which GPC was present, but which reported too late to be included within the 2018/19 Contract Negotiations; consequently, QOF was unchanged during 2018/19.  QOF remains one of the largest ‘pay-for-performance’ schemes in the world, with a budget of nearly £700 million in 2016/17.</w:t>
      </w:r>
    </w:p>
    <w:p w14:paraId="31D38BA0" w14:textId="77777777" w:rsidR="007C0855" w:rsidRDefault="007C0855" w:rsidP="007C0855">
      <w:pPr>
        <w:jc w:val="both"/>
      </w:pPr>
    </w:p>
    <w:p w14:paraId="1BA041CF" w14:textId="77777777" w:rsidR="007C0855" w:rsidRDefault="007C0855" w:rsidP="007C0855">
      <w:pPr>
        <w:jc w:val="both"/>
      </w:pPr>
      <w:r>
        <w:t>There were multiple caveats around the need for any change to be incremental and negotiated, but possible developments include:</w:t>
      </w:r>
    </w:p>
    <w:p w14:paraId="6E095D04" w14:textId="77777777" w:rsidR="007C0855" w:rsidRDefault="007C0855" w:rsidP="007C0855">
      <w:pPr>
        <w:jc w:val="both"/>
      </w:pPr>
    </w:p>
    <w:p w14:paraId="784252D8" w14:textId="77777777" w:rsidR="007C0855" w:rsidRDefault="007C0855" w:rsidP="007C0855">
      <w:pPr>
        <w:pStyle w:val="ListParagraph"/>
        <w:numPr>
          <w:ilvl w:val="0"/>
          <w:numId w:val="27"/>
        </w:numPr>
        <w:jc w:val="both"/>
      </w:pPr>
      <w:r>
        <w:t>modification of indicators to better target the population cohorts to which they apply</w:t>
      </w:r>
    </w:p>
    <w:p w14:paraId="237113FE" w14:textId="77777777" w:rsidR="007C0855" w:rsidRDefault="007C0855" w:rsidP="007C0855">
      <w:pPr>
        <w:pStyle w:val="ListParagraph"/>
        <w:numPr>
          <w:ilvl w:val="0"/>
          <w:numId w:val="27"/>
        </w:numPr>
        <w:jc w:val="both"/>
      </w:pPr>
      <w:r>
        <w:t>‘rebranding’ exception reporting as ‘personalised care adjustment’ operating at an individual rather than domain level</w:t>
      </w:r>
    </w:p>
    <w:p w14:paraId="4418C3ED" w14:textId="77777777" w:rsidR="007C0855" w:rsidRDefault="007C0855" w:rsidP="007C0855">
      <w:pPr>
        <w:pStyle w:val="ListParagraph"/>
        <w:numPr>
          <w:ilvl w:val="0"/>
          <w:numId w:val="27"/>
        </w:numPr>
        <w:jc w:val="both"/>
      </w:pPr>
      <w:r>
        <w:t>Introduction of a ‘quality improvement domain, based on national/local priority areas, but with a recognition that most GP/CCG experience of the 2011-14 QOF ‘Quality and Productivity indicators was poor.</w:t>
      </w:r>
    </w:p>
    <w:p w14:paraId="05212DF9" w14:textId="77777777" w:rsidR="007C0855" w:rsidRDefault="007C0855" w:rsidP="007C0855">
      <w:pPr>
        <w:jc w:val="both"/>
      </w:pPr>
    </w:p>
    <w:p w14:paraId="64ED58E2" w14:textId="77777777" w:rsidR="007C0855" w:rsidRDefault="007C0855" w:rsidP="007C0855">
      <w:pPr>
        <w:jc w:val="both"/>
      </w:pPr>
      <w:r>
        <w:t>Although there are no plans to reduce the overall value of QOF, the only way to produce financial “headroom” would be to retire indicators, perhaps 25% of the total.  The INLIQ experience demonstrates a gradual decline in data recording with increased variance amongst practices, but it is unclear if this reflects any change in the appropriate quality of care provided to patients.</w:t>
      </w:r>
    </w:p>
    <w:p w14:paraId="0077D57C" w14:textId="77777777" w:rsidR="007C0855" w:rsidRDefault="007C0855" w:rsidP="007C0855">
      <w:pPr>
        <w:jc w:val="both"/>
      </w:pPr>
    </w:p>
    <w:p w14:paraId="1045A16F" w14:textId="77777777" w:rsidR="007C0855" w:rsidRDefault="007C0855" w:rsidP="007C0855">
      <w:pPr>
        <w:jc w:val="both"/>
      </w:pPr>
      <w:r>
        <w:t>There is also a discussion of QOF changes in Scotland and in the few CCGs that did negotiate changes, prior to NHS England halting this.</w:t>
      </w:r>
    </w:p>
    <w:p w14:paraId="5A4ED952" w14:textId="77777777" w:rsidR="007C0855" w:rsidRDefault="007C0855" w:rsidP="007C0855">
      <w:pPr>
        <w:jc w:val="both"/>
      </w:pPr>
    </w:p>
    <w:p w14:paraId="1DF3F466" w14:textId="77777777" w:rsidR="007C0855" w:rsidRDefault="007C0855" w:rsidP="007C0855">
      <w:pPr>
        <w:jc w:val="both"/>
      </w:pPr>
      <w:r>
        <w:t>The consultation means QOF will be changed for the 2019/20 GP Contract Agreement, but cautiously, with the consultation making it clear changing QOF significantly would take years and a substantial element of clinical indicators will remain.</w:t>
      </w:r>
    </w:p>
    <w:p w14:paraId="32F3A181" w14:textId="77777777" w:rsidR="007C0855" w:rsidRDefault="007C0855" w:rsidP="007C0855">
      <w:pPr>
        <w:jc w:val="both"/>
      </w:pPr>
    </w:p>
    <w:p w14:paraId="4787B166" w14:textId="77777777" w:rsidR="007C0855" w:rsidRDefault="007C0855" w:rsidP="007C0855">
      <w:pPr>
        <w:jc w:val="both"/>
      </w:pPr>
      <w:r>
        <w:t xml:space="preserve">The second consultation relates to recent ‘digital consultations’ developments and NHS England’s belief that such NHS consultations will increase in numbers over time.  NHS England therefore argue the following elements of the GP payment structure should be reviewed. </w:t>
      </w:r>
    </w:p>
    <w:p w14:paraId="3BAD603C" w14:textId="77777777" w:rsidR="007C0855" w:rsidRDefault="007C0855" w:rsidP="007C0855">
      <w:pPr>
        <w:jc w:val="both"/>
      </w:pPr>
    </w:p>
    <w:p w14:paraId="0551B0E5" w14:textId="77777777" w:rsidR="007C0855" w:rsidRPr="00655FB4" w:rsidRDefault="007C0855" w:rsidP="007C0855">
      <w:pPr>
        <w:ind w:left="720"/>
        <w:jc w:val="both"/>
        <w:rPr>
          <w:b/>
        </w:rPr>
      </w:pPr>
      <w:r w:rsidRPr="00655FB4">
        <w:rPr>
          <w:b/>
        </w:rPr>
        <w:t>The London Adjustment [London Weighting]</w:t>
      </w:r>
    </w:p>
    <w:p w14:paraId="29FC0587" w14:textId="77777777" w:rsidR="007C0855" w:rsidRDefault="007C0855" w:rsidP="007C0855">
      <w:pPr>
        <w:jc w:val="both"/>
        <w:rPr>
          <w:b/>
        </w:rPr>
      </w:pPr>
    </w:p>
    <w:p w14:paraId="446CD8B2" w14:textId="77777777" w:rsidR="007C0855" w:rsidRDefault="007C0855" w:rsidP="007C0855">
      <w:pPr>
        <w:ind w:left="720"/>
        <w:jc w:val="both"/>
      </w:pPr>
      <w:r>
        <w:t xml:space="preserve">This is a flat rate non </w:t>
      </w:r>
      <w:proofErr w:type="spellStart"/>
      <w:r>
        <w:t>Carr</w:t>
      </w:r>
      <w:proofErr w:type="spellEnd"/>
      <w:r>
        <w:t xml:space="preserve">-Hill Formula capitation payment of £2.18 paid to all practices based within London, to all registered patients, whether living in London or not.  It is paid in addition to a higher MFF (Market Forces Factor) paid to London practices to adjust for higher metropolitan costs.  </w:t>
      </w:r>
    </w:p>
    <w:p w14:paraId="1EC1F789" w14:textId="77777777" w:rsidR="007C0855" w:rsidRDefault="007C0855" w:rsidP="007C0855">
      <w:pPr>
        <w:jc w:val="both"/>
      </w:pPr>
    </w:p>
    <w:p w14:paraId="12421891" w14:textId="77777777" w:rsidR="007C0855" w:rsidRDefault="007C0855" w:rsidP="007C0855">
      <w:pPr>
        <w:ind w:left="720"/>
        <w:jc w:val="both"/>
      </w:pPr>
      <w:r>
        <w:t>NHS England’s suggestion is to apply the London weighting only to London-resident patients, not just paid it to GP practices who are based in London.</w:t>
      </w:r>
    </w:p>
    <w:p w14:paraId="0CB52555" w14:textId="355369A5" w:rsidR="007C0855" w:rsidRDefault="007C0855" w:rsidP="007C0855">
      <w:pPr>
        <w:jc w:val="both"/>
      </w:pPr>
    </w:p>
    <w:p w14:paraId="5C08BF4C" w14:textId="77777777" w:rsidR="007C35CE" w:rsidRDefault="007C35CE" w:rsidP="007C0855">
      <w:pPr>
        <w:jc w:val="both"/>
      </w:pPr>
    </w:p>
    <w:p w14:paraId="1C65D944" w14:textId="77777777" w:rsidR="007C0855" w:rsidRDefault="007C0855" w:rsidP="007C0855">
      <w:pPr>
        <w:jc w:val="both"/>
      </w:pPr>
    </w:p>
    <w:p w14:paraId="0A4CBFB4" w14:textId="77777777" w:rsidR="007C0855" w:rsidRPr="00655FB4" w:rsidRDefault="007C0855" w:rsidP="007C0855">
      <w:pPr>
        <w:ind w:left="720"/>
        <w:jc w:val="both"/>
        <w:rPr>
          <w:b/>
        </w:rPr>
      </w:pPr>
      <w:r w:rsidRPr="00655FB4">
        <w:rPr>
          <w:b/>
        </w:rPr>
        <w:lastRenderedPageBreak/>
        <w:t>The Out-of-Area Registration Payment</w:t>
      </w:r>
    </w:p>
    <w:p w14:paraId="3D630022" w14:textId="77777777" w:rsidR="007C0855" w:rsidRDefault="007C0855" w:rsidP="007C0855">
      <w:pPr>
        <w:jc w:val="both"/>
        <w:rPr>
          <w:b/>
        </w:rPr>
      </w:pPr>
    </w:p>
    <w:p w14:paraId="1A08E47B" w14:textId="77777777" w:rsidR="007C0855" w:rsidRDefault="007C0855" w:rsidP="007C0855">
      <w:pPr>
        <w:ind w:left="720"/>
        <w:jc w:val="both"/>
      </w:pPr>
      <w:r>
        <w:t xml:space="preserve">Currently practices receive the same fee for patients registered ‘normally’ and under the ‘out-of-area’ registration arrangements, even though they do not need to provide Home Visits to the latter.  At the time the scheme was introduced, in 2015, NHS England accepted this anomaly would need to be reviewed, and the number of ‘out-of-area’ registrations has only slowly increased.  However, the ‘digital-first’ offer may lead to a surge in such numbers.  Accordingly, and based on an analysis of the frequency of home visits, NHS England have suggested the Global Sum payment for out-of-area patients may need to be reduced by about 20%.  NHS England wish to continue the out-of-area registration option.  The difficulty of commissioning an in-hours home-visiting service in most areas is also recognised. </w:t>
      </w:r>
    </w:p>
    <w:p w14:paraId="62320B23" w14:textId="77777777" w:rsidR="007C0855" w:rsidRDefault="007C0855" w:rsidP="007C0855">
      <w:pPr>
        <w:ind w:left="720"/>
        <w:jc w:val="both"/>
      </w:pPr>
    </w:p>
    <w:p w14:paraId="34E2305B" w14:textId="77777777" w:rsidR="007C0855" w:rsidRPr="00655FB4" w:rsidRDefault="007C0855" w:rsidP="007C0855">
      <w:pPr>
        <w:ind w:left="720"/>
        <w:jc w:val="both"/>
        <w:rPr>
          <w:b/>
        </w:rPr>
      </w:pPr>
      <w:r w:rsidRPr="00655FB4">
        <w:rPr>
          <w:b/>
        </w:rPr>
        <w:t>The Rurality Index</w:t>
      </w:r>
    </w:p>
    <w:p w14:paraId="6465E973" w14:textId="77777777" w:rsidR="007C0855" w:rsidRDefault="007C0855" w:rsidP="007C0855">
      <w:pPr>
        <w:jc w:val="both"/>
        <w:rPr>
          <w:b/>
        </w:rPr>
      </w:pPr>
    </w:p>
    <w:p w14:paraId="34B9CB2D" w14:textId="77777777" w:rsidR="007C0855" w:rsidRDefault="007C0855" w:rsidP="007C0855">
      <w:pPr>
        <w:ind w:left="720"/>
        <w:jc w:val="both"/>
      </w:pPr>
      <w:r>
        <w:t>This is a niche interest; it is an additional payment made to practices with a higher than average distance between patients’ homes and the practice.  90% of practices’ have an average distance between 0.8 – 3.9 km.  However, if the proportion of out-of-area registrations rise, then, because these and normal registration are not distinguished in terms of the rurality index, then practices will appear more ‘rural’ than they really are.  Physical distance obviously has a significant impact in terms of delivering GP services but is irrelevant to a ‘digital-first’ consultation.  However, any such changes in the index will have no impact on over 7000 practices.</w:t>
      </w:r>
    </w:p>
    <w:p w14:paraId="56B4547D" w14:textId="77777777" w:rsidR="007C0855" w:rsidRDefault="007C0855" w:rsidP="007C0855">
      <w:pPr>
        <w:ind w:left="360"/>
        <w:jc w:val="both"/>
      </w:pPr>
    </w:p>
    <w:p w14:paraId="5F1A22C3" w14:textId="77777777" w:rsidR="007C0855" w:rsidRPr="009602AA" w:rsidRDefault="007C0855" w:rsidP="007C0855">
      <w:pPr>
        <w:jc w:val="both"/>
      </w:pPr>
      <w:r>
        <w:t xml:space="preserve">In terms of consultation responses, obviously GPC will be providing a full response; individual GPs can do so, and/or I can response on behalf of SSLMCs in relation to particularly those issues of most interest to our area. </w:t>
      </w:r>
    </w:p>
    <w:p w14:paraId="08B48D80" w14:textId="77777777" w:rsidR="007C0855" w:rsidRDefault="007C0855" w:rsidP="007C0855">
      <w:pPr>
        <w:jc w:val="both"/>
      </w:pPr>
    </w:p>
    <w:p w14:paraId="26E73377" w14:textId="5316964B" w:rsidR="007C0855" w:rsidRPr="007C35CE" w:rsidRDefault="007C0855" w:rsidP="007C35CE">
      <w:pPr>
        <w:pStyle w:val="ListParagraph"/>
        <w:numPr>
          <w:ilvl w:val="0"/>
          <w:numId w:val="32"/>
        </w:numPr>
        <w:suppressAutoHyphens/>
        <w:autoSpaceDN w:val="0"/>
        <w:jc w:val="both"/>
        <w:textAlignment w:val="baseline"/>
        <w:rPr>
          <w:rFonts w:ascii="Calibri" w:hAnsi="Calibri"/>
          <w:sz w:val="22"/>
          <w:szCs w:val="22"/>
        </w:rPr>
      </w:pPr>
      <w:r w:rsidRPr="007C35CE">
        <w:rPr>
          <w:rFonts w:cstheme="minorHAnsi"/>
          <w:b/>
        </w:rPr>
        <w:t>Local IT Issues</w:t>
      </w:r>
    </w:p>
    <w:p w14:paraId="0EAE20A5" w14:textId="77777777" w:rsidR="007C0855" w:rsidRDefault="007C0855" w:rsidP="007C0855">
      <w:pPr>
        <w:suppressAutoHyphens/>
        <w:autoSpaceDN w:val="0"/>
        <w:jc w:val="both"/>
        <w:textAlignment w:val="baseline"/>
        <w:rPr>
          <w:rFonts w:cstheme="minorBidi"/>
          <w:b/>
          <w:bCs/>
        </w:rPr>
      </w:pPr>
    </w:p>
    <w:p w14:paraId="49270733" w14:textId="77777777" w:rsidR="007C0855" w:rsidRDefault="007C0855" w:rsidP="007C0855">
      <w:pPr>
        <w:pStyle w:val="ListParagraph"/>
        <w:numPr>
          <w:ilvl w:val="0"/>
          <w:numId w:val="28"/>
        </w:numPr>
        <w:suppressAutoHyphens/>
        <w:autoSpaceDN w:val="0"/>
        <w:jc w:val="both"/>
        <w:textAlignment w:val="baseline"/>
        <w:rPr>
          <w:rFonts w:cstheme="minorBidi"/>
          <w:b/>
          <w:bCs/>
        </w:rPr>
      </w:pPr>
      <w:r>
        <w:rPr>
          <w:rFonts w:cstheme="minorBidi"/>
          <w:b/>
          <w:bCs/>
        </w:rPr>
        <w:t>Incomplete episodes of care at St Georges Hospital</w:t>
      </w:r>
    </w:p>
    <w:p w14:paraId="794BFE46" w14:textId="77777777" w:rsidR="007C0855" w:rsidRDefault="007C0855" w:rsidP="007C0855">
      <w:pPr>
        <w:suppressAutoHyphens/>
        <w:autoSpaceDN w:val="0"/>
        <w:jc w:val="both"/>
        <w:textAlignment w:val="baseline"/>
        <w:rPr>
          <w:rFonts w:cstheme="minorBidi"/>
          <w:b/>
          <w:bCs/>
        </w:rPr>
      </w:pPr>
    </w:p>
    <w:p w14:paraId="7366BFF5" w14:textId="77777777" w:rsidR="007C0855" w:rsidRPr="005328E4" w:rsidRDefault="007C0855" w:rsidP="007C0855">
      <w:pPr>
        <w:suppressAutoHyphens/>
        <w:autoSpaceDN w:val="0"/>
        <w:ind w:left="360"/>
        <w:jc w:val="both"/>
        <w:textAlignment w:val="baseline"/>
        <w:rPr>
          <w:rFonts w:cstheme="minorBidi"/>
          <w:bCs/>
        </w:rPr>
      </w:pPr>
      <w:r w:rsidRPr="005328E4">
        <w:rPr>
          <w:rFonts w:cstheme="minorBidi"/>
          <w:bCs/>
        </w:rPr>
        <w:t xml:space="preserve">I hope all practices with patients identified as being involved in this incident have now received an invitation from the CCG to review </w:t>
      </w:r>
      <w:r>
        <w:rPr>
          <w:rFonts w:cstheme="minorBidi"/>
          <w:bCs/>
        </w:rPr>
        <w:t>such</w:t>
      </w:r>
      <w:r w:rsidRPr="005328E4">
        <w:rPr>
          <w:rFonts w:cstheme="minorBidi"/>
          <w:bCs/>
        </w:rPr>
        <w:t xml:space="preserve"> patients and advi</w:t>
      </w:r>
      <w:r>
        <w:rPr>
          <w:rFonts w:cstheme="minorBidi"/>
          <w:bCs/>
        </w:rPr>
        <w:t>s</w:t>
      </w:r>
      <w:r w:rsidRPr="005328E4">
        <w:rPr>
          <w:rFonts w:cstheme="minorBidi"/>
          <w:bCs/>
        </w:rPr>
        <w:t xml:space="preserve">e St George’s if any action is needed.  I am grateful to </w:t>
      </w:r>
      <w:proofErr w:type="spellStart"/>
      <w:r w:rsidRPr="005328E4">
        <w:rPr>
          <w:rFonts w:cstheme="minorBidi"/>
          <w:bCs/>
        </w:rPr>
        <w:t>Londonwide</w:t>
      </w:r>
      <w:proofErr w:type="spellEnd"/>
      <w:r w:rsidRPr="005328E4">
        <w:rPr>
          <w:rFonts w:cstheme="minorBidi"/>
          <w:bCs/>
        </w:rPr>
        <w:t xml:space="preserve"> LMCs for undertaking the initial negotiations on this issue.</w:t>
      </w:r>
    </w:p>
    <w:p w14:paraId="47DF1603" w14:textId="77777777" w:rsidR="007C0855" w:rsidRDefault="007C0855" w:rsidP="007C0855">
      <w:pPr>
        <w:suppressAutoHyphens/>
        <w:autoSpaceDN w:val="0"/>
        <w:jc w:val="both"/>
        <w:textAlignment w:val="baseline"/>
        <w:rPr>
          <w:rFonts w:cstheme="minorBidi"/>
          <w:bCs/>
        </w:rPr>
      </w:pPr>
    </w:p>
    <w:p w14:paraId="545C3C3E" w14:textId="77777777" w:rsidR="007C0855" w:rsidRDefault="007C0855" w:rsidP="007C0855">
      <w:pPr>
        <w:pStyle w:val="ListParagraph"/>
        <w:numPr>
          <w:ilvl w:val="0"/>
          <w:numId w:val="28"/>
        </w:numPr>
        <w:suppressAutoHyphens/>
        <w:autoSpaceDN w:val="0"/>
        <w:jc w:val="both"/>
        <w:textAlignment w:val="baseline"/>
        <w:rPr>
          <w:rFonts w:cstheme="minorBidi"/>
          <w:b/>
          <w:bCs/>
        </w:rPr>
      </w:pPr>
      <w:r w:rsidRPr="00BB1A9E">
        <w:rPr>
          <w:rFonts w:cstheme="minorBidi"/>
          <w:b/>
          <w:bCs/>
        </w:rPr>
        <w:t xml:space="preserve">Unprocessed </w:t>
      </w:r>
      <w:proofErr w:type="spellStart"/>
      <w:r w:rsidRPr="00BB1A9E">
        <w:rPr>
          <w:rFonts w:cstheme="minorBidi"/>
          <w:b/>
          <w:bCs/>
        </w:rPr>
        <w:t>Docman</w:t>
      </w:r>
      <w:proofErr w:type="spellEnd"/>
      <w:r w:rsidRPr="00BB1A9E">
        <w:rPr>
          <w:rFonts w:cstheme="minorBidi"/>
          <w:b/>
          <w:bCs/>
        </w:rPr>
        <w:t xml:space="preserve"> folders</w:t>
      </w:r>
    </w:p>
    <w:p w14:paraId="717FF77A" w14:textId="77777777" w:rsidR="007C0855" w:rsidRPr="00BB1A9E" w:rsidRDefault="007C0855" w:rsidP="007C0855">
      <w:pPr>
        <w:suppressAutoHyphens/>
        <w:autoSpaceDN w:val="0"/>
        <w:jc w:val="both"/>
        <w:textAlignment w:val="baseline"/>
        <w:rPr>
          <w:rFonts w:cstheme="minorBidi"/>
          <w:b/>
          <w:bCs/>
        </w:rPr>
      </w:pPr>
    </w:p>
    <w:p w14:paraId="5546052C" w14:textId="77777777" w:rsidR="007C0855" w:rsidRPr="005328E4" w:rsidRDefault="007C0855" w:rsidP="007C0855">
      <w:pPr>
        <w:suppressAutoHyphens/>
        <w:autoSpaceDN w:val="0"/>
        <w:ind w:left="360"/>
        <w:jc w:val="both"/>
        <w:textAlignment w:val="baseline"/>
        <w:rPr>
          <w:rFonts w:cstheme="minorBidi"/>
          <w:bCs/>
        </w:rPr>
      </w:pPr>
      <w:r w:rsidRPr="005328E4">
        <w:rPr>
          <w:rFonts w:cstheme="minorBidi"/>
          <w:bCs/>
        </w:rPr>
        <w:t xml:space="preserve">Again, originally in </w:t>
      </w:r>
      <w:proofErr w:type="spellStart"/>
      <w:r w:rsidRPr="005328E4">
        <w:rPr>
          <w:rFonts w:cstheme="minorBidi"/>
          <w:bCs/>
        </w:rPr>
        <w:t>Londonwide’s</w:t>
      </w:r>
      <w:proofErr w:type="spellEnd"/>
      <w:r w:rsidRPr="005328E4">
        <w:rPr>
          <w:rFonts w:cstheme="minorBidi"/>
          <w:bCs/>
        </w:rPr>
        <w:t xml:space="preserve"> area but perhaps affecting many SW London practices, an issue has been </w:t>
      </w:r>
      <w:r>
        <w:rPr>
          <w:rFonts w:cstheme="minorBidi"/>
          <w:bCs/>
        </w:rPr>
        <w:t>identified in</w:t>
      </w:r>
      <w:r w:rsidRPr="005328E4">
        <w:rPr>
          <w:rFonts w:cstheme="minorBidi"/>
          <w:bCs/>
        </w:rPr>
        <w:t xml:space="preserve"> which unprocessed </w:t>
      </w:r>
      <w:proofErr w:type="spellStart"/>
      <w:r w:rsidRPr="005328E4">
        <w:rPr>
          <w:rFonts w:cstheme="minorBidi"/>
          <w:bCs/>
        </w:rPr>
        <w:t>Docman</w:t>
      </w:r>
      <w:proofErr w:type="spellEnd"/>
      <w:r w:rsidRPr="005328E4">
        <w:rPr>
          <w:rFonts w:cstheme="minorBidi"/>
          <w:bCs/>
        </w:rPr>
        <w:t xml:space="preserve"> folders contain multiple documents which have arrived at the practice but not been uploaded into the patient’s file.  It is difficult to know what the scale of this problem will be, and so NHS England has contacted all practices seeking to identify whether they have such unprocessed file</w:t>
      </w:r>
      <w:r>
        <w:rPr>
          <w:rFonts w:cstheme="minorBidi"/>
          <w:bCs/>
        </w:rPr>
        <w:t>s</w:t>
      </w:r>
      <w:r w:rsidRPr="005328E4">
        <w:rPr>
          <w:rFonts w:cstheme="minorBidi"/>
          <w:bCs/>
        </w:rPr>
        <w:t xml:space="preserve">, but not requesting any action to be taken yet.  A significant incident investigation involving </w:t>
      </w:r>
      <w:proofErr w:type="spellStart"/>
      <w:r w:rsidRPr="005328E4">
        <w:rPr>
          <w:rFonts w:cstheme="minorBidi"/>
          <w:bCs/>
        </w:rPr>
        <w:t>Docman</w:t>
      </w:r>
      <w:proofErr w:type="spellEnd"/>
      <w:r w:rsidRPr="005328E4">
        <w:rPr>
          <w:rFonts w:cstheme="minorBidi"/>
          <w:bCs/>
        </w:rPr>
        <w:t xml:space="preserve"> is underway but </w:t>
      </w:r>
      <w:proofErr w:type="gramStart"/>
      <w:r w:rsidRPr="005328E4">
        <w:rPr>
          <w:rFonts w:cstheme="minorBidi"/>
          <w:bCs/>
        </w:rPr>
        <w:t>as</w:t>
      </w:r>
      <w:proofErr w:type="gramEnd"/>
      <w:r w:rsidRPr="005328E4">
        <w:rPr>
          <w:rFonts w:cstheme="minorBidi"/>
          <w:bCs/>
        </w:rPr>
        <w:t xml:space="preserve"> yet no further details are available.  </w:t>
      </w:r>
    </w:p>
    <w:p w14:paraId="7A413A94" w14:textId="77777777" w:rsidR="007C0855" w:rsidRPr="00BB1A9E" w:rsidRDefault="007C0855" w:rsidP="007C0855">
      <w:pPr>
        <w:suppressAutoHyphens/>
        <w:autoSpaceDN w:val="0"/>
        <w:jc w:val="both"/>
        <w:textAlignment w:val="baseline"/>
        <w:rPr>
          <w:rFonts w:cstheme="minorBidi"/>
          <w:b/>
          <w:bCs/>
        </w:rPr>
      </w:pPr>
    </w:p>
    <w:p w14:paraId="3371388D" w14:textId="2CDD13E6" w:rsidR="007C0855" w:rsidRDefault="007C0855" w:rsidP="007C0855">
      <w:pPr>
        <w:suppressAutoHyphens/>
        <w:autoSpaceDN w:val="0"/>
        <w:jc w:val="both"/>
        <w:textAlignment w:val="baseline"/>
        <w:rPr>
          <w:rFonts w:cstheme="minorBidi"/>
          <w:b/>
          <w:bCs/>
        </w:rPr>
      </w:pPr>
    </w:p>
    <w:p w14:paraId="38513339" w14:textId="77777777" w:rsidR="007C35CE" w:rsidRDefault="007C35CE" w:rsidP="007C0855">
      <w:pPr>
        <w:suppressAutoHyphens/>
        <w:autoSpaceDN w:val="0"/>
        <w:jc w:val="both"/>
        <w:textAlignment w:val="baseline"/>
        <w:rPr>
          <w:rFonts w:cstheme="minorBidi"/>
          <w:b/>
          <w:bCs/>
        </w:rPr>
      </w:pPr>
    </w:p>
    <w:p w14:paraId="7937407D" w14:textId="2C9C4DD7" w:rsidR="007C0855" w:rsidRPr="007C35CE" w:rsidRDefault="007C0855" w:rsidP="007C35CE">
      <w:pPr>
        <w:pStyle w:val="ListParagraph"/>
        <w:numPr>
          <w:ilvl w:val="0"/>
          <w:numId w:val="32"/>
        </w:numPr>
        <w:suppressAutoHyphens/>
        <w:autoSpaceDN w:val="0"/>
        <w:jc w:val="both"/>
        <w:textAlignment w:val="baseline"/>
        <w:rPr>
          <w:rFonts w:cstheme="minorBidi"/>
          <w:b/>
        </w:rPr>
      </w:pPr>
      <w:r w:rsidRPr="007C35CE">
        <w:rPr>
          <w:rFonts w:cstheme="minorBidi"/>
          <w:b/>
        </w:rPr>
        <w:lastRenderedPageBreak/>
        <w:t>The Potentially Avoidable Appointment Audit</w:t>
      </w:r>
    </w:p>
    <w:p w14:paraId="57B1F312" w14:textId="77777777" w:rsidR="007C0855" w:rsidRDefault="007C0855" w:rsidP="007C0855">
      <w:pPr>
        <w:suppressAutoHyphens/>
        <w:autoSpaceDN w:val="0"/>
        <w:jc w:val="both"/>
        <w:textAlignment w:val="baseline"/>
        <w:rPr>
          <w:rFonts w:cstheme="minorBidi"/>
        </w:rPr>
      </w:pPr>
    </w:p>
    <w:p w14:paraId="60C6D686" w14:textId="77777777" w:rsidR="007C0855" w:rsidRDefault="007C0855" w:rsidP="007C0855">
      <w:pPr>
        <w:suppressAutoHyphens/>
        <w:autoSpaceDN w:val="0"/>
        <w:jc w:val="both"/>
        <w:textAlignment w:val="baseline"/>
        <w:rPr>
          <w:rFonts w:cstheme="minorBidi"/>
        </w:rPr>
      </w:pPr>
      <w:r>
        <w:rPr>
          <w:rFonts w:cstheme="minorBidi"/>
        </w:rPr>
        <w:t>Supported by NHS England, the Primary Care Foundation has developed an audit to look at current practice appointments, based on initial research suggesting up to 27% of appointments in General Practice were potentially avoidable if other services and support were in place.  There is no cost to practices.</w:t>
      </w:r>
    </w:p>
    <w:p w14:paraId="4720BC7A" w14:textId="77777777" w:rsidR="007C0855" w:rsidRDefault="007C0855" w:rsidP="007C0855">
      <w:pPr>
        <w:suppressAutoHyphens/>
        <w:autoSpaceDN w:val="0"/>
        <w:jc w:val="both"/>
        <w:textAlignment w:val="baseline"/>
        <w:rPr>
          <w:rFonts w:cstheme="minorBidi"/>
        </w:rPr>
      </w:pPr>
    </w:p>
    <w:p w14:paraId="4DEB8071" w14:textId="77777777" w:rsidR="007C0855" w:rsidRDefault="007C0855" w:rsidP="007C0855">
      <w:pPr>
        <w:suppressAutoHyphens/>
        <w:autoSpaceDN w:val="0"/>
        <w:jc w:val="both"/>
        <w:textAlignment w:val="baseline"/>
        <w:rPr>
          <w:rFonts w:cstheme="minorBidi"/>
        </w:rPr>
      </w:pPr>
      <w:r>
        <w:rPr>
          <w:rFonts w:cstheme="minorBidi"/>
        </w:rPr>
        <w:t xml:space="preserve">Information about the audit, which over 1000 GPs from over 400 practices have so far undertaken, results so far, changes, and case studies are available at: - </w:t>
      </w:r>
    </w:p>
    <w:p w14:paraId="5EAB4D02" w14:textId="77777777" w:rsidR="007C0855" w:rsidRDefault="007C0855" w:rsidP="007C0855">
      <w:pPr>
        <w:suppressAutoHyphens/>
        <w:autoSpaceDN w:val="0"/>
        <w:jc w:val="both"/>
        <w:textAlignment w:val="baseline"/>
        <w:rPr>
          <w:rFonts w:cstheme="minorBidi"/>
        </w:rPr>
      </w:pPr>
    </w:p>
    <w:p w14:paraId="6CB63D62" w14:textId="77777777" w:rsidR="007C0855" w:rsidRDefault="007C0855" w:rsidP="007C0855">
      <w:pPr>
        <w:suppressAutoHyphens/>
        <w:autoSpaceDN w:val="0"/>
        <w:jc w:val="both"/>
        <w:textAlignment w:val="baseline"/>
        <w:rPr>
          <w:rFonts w:cstheme="minorBidi"/>
        </w:rPr>
      </w:pPr>
      <w:hyperlink r:id="rId16" w:history="1">
        <w:r w:rsidRPr="003C6C64">
          <w:rPr>
            <w:rStyle w:val="Hyperlink"/>
            <w:rFonts w:cstheme="minorBidi"/>
          </w:rPr>
          <w:t>https://pcfaudit.co.uk/login</w:t>
        </w:r>
      </w:hyperlink>
    </w:p>
    <w:p w14:paraId="265DDBE1" w14:textId="77777777" w:rsidR="007C0855" w:rsidRDefault="007C0855" w:rsidP="007C0855">
      <w:pPr>
        <w:suppressAutoHyphens/>
        <w:autoSpaceDN w:val="0"/>
        <w:jc w:val="both"/>
        <w:textAlignment w:val="baseline"/>
        <w:rPr>
          <w:rFonts w:cstheme="minorBidi"/>
          <w:b/>
        </w:rPr>
      </w:pPr>
    </w:p>
    <w:p w14:paraId="2F8CD222" w14:textId="77777777" w:rsidR="007C0855" w:rsidRPr="008A61C1" w:rsidRDefault="007C0855" w:rsidP="007C35CE">
      <w:pPr>
        <w:pStyle w:val="ListParagraph"/>
        <w:numPr>
          <w:ilvl w:val="0"/>
          <w:numId w:val="32"/>
        </w:numPr>
        <w:suppressAutoHyphens/>
        <w:autoSpaceDN w:val="0"/>
        <w:jc w:val="both"/>
        <w:textAlignment w:val="baseline"/>
        <w:rPr>
          <w:rFonts w:cstheme="minorBidi"/>
          <w:b/>
        </w:rPr>
      </w:pPr>
      <w:r w:rsidRPr="008A61C1">
        <w:rPr>
          <w:rFonts w:cstheme="minorBidi"/>
          <w:b/>
        </w:rPr>
        <w:t>NHS App</w:t>
      </w:r>
    </w:p>
    <w:p w14:paraId="48664016" w14:textId="77777777" w:rsidR="007C0855" w:rsidRPr="006A6821" w:rsidRDefault="007C0855" w:rsidP="007C0855">
      <w:pPr>
        <w:suppressAutoHyphens/>
        <w:autoSpaceDN w:val="0"/>
        <w:jc w:val="both"/>
        <w:textAlignment w:val="baseline"/>
        <w:rPr>
          <w:rFonts w:cstheme="minorBidi"/>
          <w:b/>
        </w:rPr>
      </w:pPr>
    </w:p>
    <w:p w14:paraId="15B56EC0" w14:textId="77777777" w:rsidR="007C0855" w:rsidRDefault="007C0855" w:rsidP="007C0855">
      <w:pPr>
        <w:suppressAutoHyphens/>
        <w:autoSpaceDN w:val="0"/>
        <w:jc w:val="both"/>
        <w:textAlignment w:val="baseline"/>
        <w:rPr>
          <w:rFonts w:cstheme="minorBidi"/>
        </w:rPr>
      </w:pPr>
      <w:r>
        <w:rPr>
          <w:rFonts w:cstheme="minorBidi"/>
        </w:rPr>
        <w:t>As a 70</w:t>
      </w:r>
      <w:r w:rsidRPr="003B0158">
        <w:rPr>
          <w:rFonts w:cstheme="minorBidi"/>
          <w:vertAlign w:val="superscript"/>
        </w:rPr>
        <w:t>th</w:t>
      </w:r>
      <w:r>
        <w:rPr>
          <w:rFonts w:cstheme="minorBidi"/>
        </w:rPr>
        <w:t xml:space="preserve"> Birthday present for the NHS, the Government has announced that an app will be available across England by December 2018; this will give patients safe and secure access to their GP record – or at least that is what it says within the current publicity – and allow patients to order repeat prescriptions, book appointments – assuming they are available – and state preferences such as data-sharing (via the National Data-Opt-out) and organ donation.  This is an element of ‘digital-first primary care’ of which colleagues will hear much more…</w:t>
      </w:r>
      <w:proofErr w:type="gramStart"/>
      <w:r>
        <w:rPr>
          <w:rFonts w:cstheme="minorBidi"/>
        </w:rPr>
        <w:t>…..</w:t>
      </w:r>
      <w:proofErr w:type="gramEnd"/>
    </w:p>
    <w:p w14:paraId="3315FB1A" w14:textId="77777777" w:rsidR="007C0855" w:rsidRDefault="007C0855" w:rsidP="007C0855">
      <w:pPr>
        <w:suppressAutoHyphens/>
        <w:autoSpaceDN w:val="0"/>
        <w:jc w:val="both"/>
        <w:textAlignment w:val="baseline"/>
        <w:rPr>
          <w:rFonts w:cstheme="minorBidi"/>
        </w:rPr>
      </w:pPr>
    </w:p>
    <w:p w14:paraId="6D4EE8E3" w14:textId="77777777" w:rsidR="007C0855" w:rsidRPr="008A61C1" w:rsidRDefault="007C0855" w:rsidP="007C35CE">
      <w:pPr>
        <w:pStyle w:val="ListParagraph"/>
        <w:numPr>
          <w:ilvl w:val="0"/>
          <w:numId w:val="32"/>
        </w:numPr>
        <w:suppressAutoHyphens/>
        <w:autoSpaceDN w:val="0"/>
        <w:jc w:val="both"/>
        <w:textAlignment w:val="baseline"/>
        <w:rPr>
          <w:rFonts w:cstheme="minorBidi"/>
        </w:rPr>
      </w:pPr>
      <w:r w:rsidRPr="008A61C1">
        <w:rPr>
          <w:rFonts w:cstheme="minorBidi"/>
          <w:b/>
        </w:rPr>
        <w:t>Supporting General Practitioners who undertake a low volume of NHS General Practice clinical work in one or more appraisal cycles</w:t>
      </w:r>
      <w:r w:rsidRPr="008A61C1">
        <w:rPr>
          <w:rFonts w:cstheme="minorBidi"/>
        </w:rPr>
        <w:t xml:space="preserve">. </w:t>
      </w:r>
    </w:p>
    <w:p w14:paraId="07494182" w14:textId="77777777" w:rsidR="007C0855" w:rsidRDefault="007C0855" w:rsidP="007C0855">
      <w:pPr>
        <w:suppressAutoHyphens/>
        <w:autoSpaceDN w:val="0"/>
        <w:jc w:val="both"/>
        <w:textAlignment w:val="baseline"/>
        <w:rPr>
          <w:rFonts w:cstheme="minorBidi"/>
        </w:rPr>
      </w:pPr>
    </w:p>
    <w:p w14:paraId="2062C137" w14:textId="77777777" w:rsidR="007C0855" w:rsidRDefault="007C0855" w:rsidP="007C0855">
      <w:pPr>
        <w:suppressAutoHyphens/>
        <w:autoSpaceDN w:val="0"/>
        <w:jc w:val="both"/>
        <w:textAlignment w:val="baseline"/>
        <w:rPr>
          <w:rFonts w:cstheme="minorBidi"/>
        </w:rPr>
      </w:pPr>
      <w:r>
        <w:rPr>
          <w:rFonts w:cstheme="minorBidi"/>
        </w:rPr>
        <w:t xml:space="preserve">Whilst there is no formal requirement in terms of the number of sessions that </w:t>
      </w:r>
      <w:proofErr w:type="gramStart"/>
      <w:r>
        <w:rPr>
          <w:rFonts w:cstheme="minorBidi"/>
        </w:rPr>
        <w:t>have to</w:t>
      </w:r>
      <w:proofErr w:type="gramEnd"/>
      <w:r>
        <w:rPr>
          <w:rFonts w:cstheme="minorBidi"/>
        </w:rPr>
        <w:t xml:space="preserve"> be fulfilled annually to remain on the Performers List, NHS England have responded to concerns expressed by appraisers and Responsible Officers (ROs) that GPs with a very limited commitment to Clinical General Practice are at risk of disengagement from, and increasing inexperience in, patient care.</w:t>
      </w:r>
    </w:p>
    <w:p w14:paraId="079B1C2C" w14:textId="77777777" w:rsidR="007C0855" w:rsidRDefault="007C0855" w:rsidP="007C0855">
      <w:pPr>
        <w:suppressAutoHyphens/>
        <w:autoSpaceDN w:val="0"/>
        <w:jc w:val="both"/>
        <w:textAlignment w:val="baseline"/>
        <w:rPr>
          <w:rFonts w:cstheme="minorBidi"/>
        </w:rPr>
      </w:pPr>
    </w:p>
    <w:p w14:paraId="64947882" w14:textId="77777777" w:rsidR="007C0855" w:rsidRDefault="007C0855" w:rsidP="007C0855">
      <w:pPr>
        <w:suppressAutoHyphens/>
        <w:autoSpaceDN w:val="0"/>
        <w:jc w:val="both"/>
        <w:textAlignment w:val="baseline"/>
        <w:rPr>
          <w:rFonts w:cstheme="minorBidi"/>
        </w:rPr>
      </w:pPr>
      <w:r>
        <w:rPr>
          <w:rFonts w:cstheme="minorBidi"/>
        </w:rPr>
        <w:t xml:space="preserve">After some discussion NHS England’s guidance to ROs is that General Practitioners undertaking 40 or less clinical sessions per year </w:t>
      </w:r>
      <w:proofErr w:type="gramStart"/>
      <w:r>
        <w:rPr>
          <w:rFonts w:cstheme="minorBidi"/>
        </w:rPr>
        <w:t>have to</w:t>
      </w:r>
      <w:proofErr w:type="gramEnd"/>
      <w:r>
        <w:rPr>
          <w:rFonts w:cstheme="minorBidi"/>
        </w:rPr>
        <w:t xml:space="preserve"> complete a Structured Reflective Template aimed at addressing perceived risks; and encouraging the GP to reflect on these.</w:t>
      </w:r>
    </w:p>
    <w:p w14:paraId="2EDFF9BB" w14:textId="77777777" w:rsidR="007C0855" w:rsidRDefault="007C0855" w:rsidP="007C0855">
      <w:pPr>
        <w:suppressAutoHyphens/>
        <w:autoSpaceDN w:val="0"/>
        <w:jc w:val="both"/>
        <w:textAlignment w:val="baseline"/>
        <w:rPr>
          <w:rFonts w:cstheme="minorBidi"/>
        </w:rPr>
      </w:pPr>
    </w:p>
    <w:p w14:paraId="617C40FD" w14:textId="77777777" w:rsidR="007C0855" w:rsidRDefault="007C0855" w:rsidP="007C0855">
      <w:pPr>
        <w:suppressAutoHyphens/>
        <w:autoSpaceDN w:val="0"/>
        <w:jc w:val="both"/>
        <w:textAlignment w:val="baseline"/>
        <w:rPr>
          <w:rFonts w:cstheme="minorBidi"/>
        </w:rPr>
      </w:pPr>
      <w:r>
        <w:rPr>
          <w:rFonts w:cstheme="minorBidi"/>
        </w:rPr>
        <w:t>By way of comparison, the current Retainer Scheme supports up to four weekly sessions, so this will apply to relatively few colleagues.</w:t>
      </w:r>
    </w:p>
    <w:p w14:paraId="76D623BE" w14:textId="77777777" w:rsidR="007C0855" w:rsidRDefault="007C0855" w:rsidP="007C0855">
      <w:pPr>
        <w:suppressAutoHyphens/>
        <w:autoSpaceDN w:val="0"/>
        <w:jc w:val="both"/>
        <w:textAlignment w:val="baseline"/>
        <w:rPr>
          <w:rFonts w:cstheme="minorBidi"/>
        </w:rPr>
      </w:pPr>
    </w:p>
    <w:p w14:paraId="71086E9B" w14:textId="77777777" w:rsidR="0079512D" w:rsidRDefault="0079512D" w:rsidP="0079512D">
      <w:pPr>
        <w:suppressAutoHyphens/>
        <w:autoSpaceDN w:val="0"/>
        <w:jc w:val="both"/>
        <w:textAlignment w:val="baseline"/>
        <w:rPr>
          <w:rFonts w:cstheme="minorBidi"/>
        </w:rPr>
      </w:pPr>
      <w:bookmarkStart w:id="0" w:name="_GoBack"/>
      <w:bookmarkEnd w:id="0"/>
    </w:p>
    <w:p w14:paraId="6B882485" w14:textId="77777777" w:rsidR="0079512D" w:rsidRPr="00D4793A" w:rsidRDefault="0079512D" w:rsidP="0079512D">
      <w:pPr>
        <w:suppressAutoHyphens/>
        <w:autoSpaceDN w:val="0"/>
        <w:jc w:val="both"/>
        <w:textAlignment w:val="baseline"/>
        <w:rPr>
          <w:rFonts w:cstheme="minorHAnsi"/>
        </w:rPr>
      </w:pPr>
      <w:r w:rsidRPr="00D4793A">
        <w:rPr>
          <w:rFonts w:cstheme="minorHAnsi"/>
          <w:noProof/>
          <w:lang w:eastAsia="en-GB"/>
        </w:rPr>
        <w:drawing>
          <wp:inline distT="0" distB="0" distL="0" distR="0" wp14:anchorId="24510C2C" wp14:editId="544CAF7A">
            <wp:extent cx="1645920" cy="574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8750"/>
                    <a:stretch/>
                  </pic:blipFill>
                  <pic:spPr bwMode="auto">
                    <a:xfrm>
                      <a:off x="0" y="0"/>
                      <a:ext cx="1664896" cy="580658"/>
                    </a:xfrm>
                    <a:prstGeom prst="rect">
                      <a:avLst/>
                    </a:prstGeom>
                    <a:noFill/>
                    <a:ln>
                      <a:noFill/>
                    </a:ln>
                    <a:extLst>
                      <a:ext uri="{53640926-AAD7-44D8-BBD7-CCE9431645EC}">
                        <a14:shadowObscured xmlns:a14="http://schemas.microsoft.com/office/drawing/2010/main"/>
                      </a:ext>
                    </a:extLst>
                  </pic:spPr>
                </pic:pic>
              </a:graphicData>
            </a:graphic>
          </wp:inline>
        </w:drawing>
      </w:r>
    </w:p>
    <w:p w14:paraId="60EDF807" w14:textId="77777777" w:rsidR="0079512D" w:rsidRPr="00D4793A" w:rsidRDefault="0079512D" w:rsidP="0079512D">
      <w:pPr>
        <w:rPr>
          <w:rFonts w:cstheme="minorHAnsi"/>
        </w:rPr>
      </w:pPr>
      <w:r w:rsidRPr="00D4793A">
        <w:rPr>
          <w:rFonts w:cstheme="minorHAnsi"/>
        </w:rPr>
        <w:t>Dr Julius Parker</w:t>
      </w:r>
    </w:p>
    <w:p w14:paraId="6597A425" w14:textId="642131CA" w:rsidR="00FE05FF" w:rsidRPr="0079512D" w:rsidRDefault="0079512D" w:rsidP="0079512D">
      <w:pPr>
        <w:pStyle w:val="ListParagraph"/>
        <w:ind w:left="0"/>
        <w:jc w:val="both"/>
        <w:rPr>
          <w:b/>
        </w:rPr>
      </w:pPr>
      <w:r>
        <w:rPr>
          <w:b/>
        </w:rPr>
        <w:t>Chief Executive</w:t>
      </w:r>
    </w:p>
    <w:p w14:paraId="62575B01" w14:textId="77777777" w:rsidR="00FE05FF" w:rsidRPr="00F448C0" w:rsidRDefault="00FE05FF" w:rsidP="00FE05FF">
      <w:pPr>
        <w:pStyle w:val="ListParagraph"/>
      </w:pPr>
    </w:p>
    <w:p w14:paraId="4C4B3138" w14:textId="1CF4BDB4" w:rsidR="00FE05FF" w:rsidRDefault="00FE05FF" w:rsidP="00FE05FF">
      <w:pPr>
        <w:suppressAutoHyphens/>
        <w:autoSpaceDN w:val="0"/>
        <w:jc w:val="both"/>
        <w:textAlignment w:val="baseline"/>
      </w:pPr>
    </w:p>
    <w:p w14:paraId="3E7A758C" w14:textId="77777777" w:rsidR="006E49C9" w:rsidRDefault="006E49C9" w:rsidP="00797FE4">
      <w:pPr>
        <w:rPr>
          <w:b/>
        </w:rPr>
      </w:pPr>
    </w:p>
    <w:p w14:paraId="7AFC498F" w14:textId="77777777" w:rsidR="006E49C9" w:rsidRDefault="006E49C9" w:rsidP="00797FE4">
      <w:pPr>
        <w:rPr>
          <w:b/>
        </w:rPr>
      </w:pPr>
    </w:p>
    <w:p w14:paraId="3B9EDAA7" w14:textId="77777777" w:rsidR="00497705" w:rsidRDefault="00497705" w:rsidP="00497705">
      <w:pPr>
        <w:suppressAutoHyphens/>
        <w:autoSpaceDN w:val="0"/>
        <w:jc w:val="both"/>
        <w:textAlignment w:val="baseline"/>
      </w:pPr>
    </w:p>
    <w:sectPr w:rsidR="00497705" w:rsidSect="004A1179">
      <w:pgSz w:w="12240" w:h="15840" w:code="1"/>
      <w:pgMar w:top="1440" w:right="1418"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panose1 w:val="02000506030000020004"/>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227"/>
    <w:multiLevelType w:val="hybridMultilevel"/>
    <w:tmpl w:val="D0FA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758C8"/>
    <w:multiLevelType w:val="hybridMultilevel"/>
    <w:tmpl w:val="AD18E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F17F3"/>
    <w:multiLevelType w:val="hybridMultilevel"/>
    <w:tmpl w:val="E9D05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73D95"/>
    <w:multiLevelType w:val="hybridMultilevel"/>
    <w:tmpl w:val="2AD0F1CE"/>
    <w:lvl w:ilvl="0" w:tplc="0D8C132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325965"/>
    <w:multiLevelType w:val="hybridMultilevel"/>
    <w:tmpl w:val="841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6027E"/>
    <w:multiLevelType w:val="hybridMultilevel"/>
    <w:tmpl w:val="9B36CD42"/>
    <w:lvl w:ilvl="0" w:tplc="9F866E18">
      <w:start w:val="1"/>
      <w:numFmt w:val="decimal"/>
      <w:lvlText w:val="%1)"/>
      <w:lvlJc w:val="left"/>
      <w:pPr>
        <w:ind w:left="360" w:hanging="36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5F46EBE"/>
    <w:multiLevelType w:val="hybridMultilevel"/>
    <w:tmpl w:val="7BA8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E7B83"/>
    <w:multiLevelType w:val="hybridMultilevel"/>
    <w:tmpl w:val="674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C341E"/>
    <w:multiLevelType w:val="hybridMultilevel"/>
    <w:tmpl w:val="8DC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0664A"/>
    <w:multiLevelType w:val="hybridMultilevel"/>
    <w:tmpl w:val="B78E4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64804"/>
    <w:multiLevelType w:val="hybridMultilevel"/>
    <w:tmpl w:val="EDF2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32279"/>
    <w:multiLevelType w:val="hybridMultilevel"/>
    <w:tmpl w:val="880E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724BA"/>
    <w:multiLevelType w:val="hybridMultilevel"/>
    <w:tmpl w:val="4262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2122B"/>
    <w:multiLevelType w:val="hybridMultilevel"/>
    <w:tmpl w:val="6E4E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40FF9"/>
    <w:multiLevelType w:val="hybridMultilevel"/>
    <w:tmpl w:val="DEC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16557"/>
    <w:multiLevelType w:val="hybridMultilevel"/>
    <w:tmpl w:val="2AB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117F5"/>
    <w:multiLevelType w:val="hybridMultilevel"/>
    <w:tmpl w:val="AA6C8C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354D7D30"/>
    <w:multiLevelType w:val="hybridMultilevel"/>
    <w:tmpl w:val="F054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826A2"/>
    <w:multiLevelType w:val="hybridMultilevel"/>
    <w:tmpl w:val="B1D4B18E"/>
    <w:lvl w:ilvl="0" w:tplc="A43E7C0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DC3D37"/>
    <w:multiLevelType w:val="hybridMultilevel"/>
    <w:tmpl w:val="32EE63E4"/>
    <w:lvl w:ilvl="0" w:tplc="758E4A60">
      <w:start w:val="7"/>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9330E9"/>
    <w:multiLevelType w:val="hybridMultilevel"/>
    <w:tmpl w:val="11A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86EA8"/>
    <w:multiLevelType w:val="hybridMultilevel"/>
    <w:tmpl w:val="C5DC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626AD"/>
    <w:multiLevelType w:val="hybridMultilevel"/>
    <w:tmpl w:val="B914A6A8"/>
    <w:lvl w:ilvl="0" w:tplc="12521A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756A81"/>
    <w:multiLevelType w:val="hybridMultilevel"/>
    <w:tmpl w:val="410E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0342C"/>
    <w:multiLevelType w:val="hybridMultilevel"/>
    <w:tmpl w:val="80F6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0370B"/>
    <w:multiLevelType w:val="hybridMultilevel"/>
    <w:tmpl w:val="C5DE8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54CD8"/>
    <w:multiLevelType w:val="hybridMultilevel"/>
    <w:tmpl w:val="7C1A6D52"/>
    <w:lvl w:ilvl="0" w:tplc="91DC4C4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F53413"/>
    <w:multiLevelType w:val="hybridMultilevel"/>
    <w:tmpl w:val="E47AD9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D0C7EC3"/>
    <w:multiLevelType w:val="hybridMultilevel"/>
    <w:tmpl w:val="C20A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F51E4"/>
    <w:multiLevelType w:val="hybridMultilevel"/>
    <w:tmpl w:val="CF72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43044"/>
    <w:multiLevelType w:val="hybridMultilevel"/>
    <w:tmpl w:val="C53E8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1F2C37"/>
    <w:multiLevelType w:val="hybridMultilevel"/>
    <w:tmpl w:val="D4A8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BA1A12"/>
    <w:multiLevelType w:val="hybridMultilevel"/>
    <w:tmpl w:val="CF4AF1D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5A3F6AD9"/>
    <w:multiLevelType w:val="hybridMultilevel"/>
    <w:tmpl w:val="CE9E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240C3"/>
    <w:multiLevelType w:val="hybridMultilevel"/>
    <w:tmpl w:val="88FA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E1884"/>
    <w:multiLevelType w:val="hybridMultilevel"/>
    <w:tmpl w:val="50E4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C17C3B"/>
    <w:multiLevelType w:val="hybridMultilevel"/>
    <w:tmpl w:val="635E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B2208"/>
    <w:multiLevelType w:val="hybridMultilevel"/>
    <w:tmpl w:val="C764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569C1"/>
    <w:multiLevelType w:val="hybridMultilevel"/>
    <w:tmpl w:val="3E547F14"/>
    <w:lvl w:ilvl="0" w:tplc="F4063DDA">
      <w:start w:val="1"/>
      <w:numFmt w:val="decimal"/>
      <w:lvlText w:val="%1."/>
      <w:lvlJc w:val="left"/>
      <w:pPr>
        <w:ind w:left="360" w:hanging="360"/>
      </w:pPr>
      <w:rPr>
        <w:rFonts w:ascii="Bliss 2 Light" w:hAnsi="Bliss 2 Light"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6B83C08"/>
    <w:multiLevelType w:val="hybridMultilevel"/>
    <w:tmpl w:val="5E566A66"/>
    <w:lvl w:ilvl="0" w:tplc="50426CC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396A52"/>
    <w:multiLevelType w:val="hybridMultilevel"/>
    <w:tmpl w:val="4A1A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37"/>
  </w:num>
  <w:num w:numId="4">
    <w:abstractNumId w:val="21"/>
  </w:num>
  <w:num w:numId="5">
    <w:abstractNumId w:val="7"/>
  </w:num>
  <w:num w:numId="6">
    <w:abstractNumId w:val="17"/>
  </w:num>
  <w:num w:numId="7">
    <w:abstractNumId w:val="25"/>
  </w:num>
  <w:num w:numId="8">
    <w:abstractNumId w:val="20"/>
  </w:num>
  <w:num w:numId="9">
    <w:abstractNumId w:val="26"/>
  </w:num>
  <w:num w:numId="10">
    <w:abstractNumId w:val="5"/>
  </w:num>
  <w:num w:numId="11">
    <w:abstractNumId w:val="28"/>
  </w:num>
  <w:num w:numId="12">
    <w:abstractNumId w:val="12"/>
  </w:num>
  <w:num w:numId="13">
    <w:abstractNumId w:val="35"/>
  </w:num>
  <w:num w:numId="14">
    <w:abstractNumId w:val="15"/>
  </w:num>
  <w:num w:numId="15">
    <w:abstractNumId w:val="4"/>
  </w:num>
  <w:num w:numId="16">
    <w:abstractNumId w:val="8"/>
  </w:num>
  <w:num w:numId="17">
    <w:abstractNumId w:val="27"/>
  </w:num>
  <w:num w:numId="18">
    <w:abstractNumId w:val="30"/>
  </w:num>
  <w:num w:numId="19">
    <w:abstractNumId w:val="24"/>
  </w:num>
  <w:num w:numId="20">
    <w:abstractNumId w:val="0"/>
  </w:num>
  <w:num w:numId="21">
    <w:abstractNumId w:val="16"/>
  </w:num>
  <w:num w:numId="22">
    <w:abstractNumId w:val="32"/>
  </w:num>
  <w:num w:numId="23">
    <w:abstractNumId w:val="31"/>
  </w:num>
  <w:num w:numId="24">
    <w:abstractNumId w:val="6"/>
  </w:num>
  <w:num w:numId="25">
    <w:abstractNumId w:val="19"/>
  </w:num>
  <w:num w:numId="26">
    <w:abstractNumId w:val="10"/>
  </w:num>
  <w:num w:numId="27">
    <w:abstractNumId w:val="34"/>
  </w:num>
  <w:num w:numId="28">
    <w:abstractNumId w:val="22"/>
  </w:num>
  <w:num w:numId="29">
    <w:abstractNumId w:val="38"/>
  </w:num>
  <w:num w:numId="30">
    <w:abstractNumId w:val="3"/>
  </w:num>
  <w:num w:numId="31">
    <w:abstractNumId w:val="1"/>
  </w:num>
  <w:num w:numId="32">
    <w:abstractNumId w:val="18"/>
  </w:num>
  <w:num w:numId="33">
    <w:abstractNumId w:val="23"/>
  </w:num>
  <w:num w:numId="34">
    <w:abstractNumId w:val="36"/>
  </w:num>
  <w:num w:numId="35">
    <w:abstractNumId w:val="33"/>
  </w:num>
  <w:num w:numId="36">
    <w:abstractNumId w:val="13"/>
  </w:num>
  <w:num w:numId="37">
    <w:abstractNumId w:val="14"/>
  </w:num>
  <w:num w:numId="38">
    <w:abstractNumId w:val="11"/>
  </w:num>
  <w:num w:numId="39">
    <w:abstractNumId w:val="40"/>
  </w:num>
  <w:num w:numId="40">
    <w:abstractNumId w:val="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2C"/>
    <w:rsid w:val="0003612C"/>
    <w:rsid w:val="00134928"/>
    <w:rsid w:val="001E56E4"/>
    <w:rsid w:val="0023299E"/>
    <w:rsid w:val="00320FFE"/>
    <w:rsid w:val="00324431"/>
    <w:rsid w:val="00332F2C"/>
    <w:rsid w:val="00375DB4"/>
    <w:rsid w:val="00432F55"/>
    <w:rsid w:val="00441CCE"/>
    <w:rsid w:val="00497705"/>
    <w:rsid w:val="004A1179"/>
    <w:rsid w:val="004D63C2"/>
    <w:rsid w:val="005D02B8"/>
    <w:rsid w:val="00661510"/>
    <w:rsid w:val="006E49C9"/>
    <w:rsid w:val="00703B27"/>
    <w:rsid w:val="0079512D"/>
    <w:rsid w:val="00797FE4"/>
    <w:rsid w:val="007C0855"/>
    <w:rsid w:val="007C35CE"/>
    <w:rsid w:val="007C4547"/>
    <w:rsid w:val="00916F80"/>
    <w:rsid w:val="009548C4"/>
    <w:rsid w:val="00981720"/>
    <w:rsid w:val="009D7596"/>
    <w:rsid w:val="00A51593"/>
    <w:rsid w:val="00AF42C4"/>
    <w:rsid w:val="00BA5C17"/>
    <w:rsid w:val="00C26952"/>
    <w:rsid w:val="00D3481A"/>
    <w:rsid w:val="00D42C65"/>
    <w:rsid w:val="00D653BB"/>
    <w:rsid w:val="00EB067D"/>
    <w:rsid w:val="00EF7A26"/>
    <w:rsid w:val="00F37D31"/>
    <w:rsid w:val="00FE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CFA3A"/>
  <w15:chartTrackingRefBased/>
  <w15:docId w15:val="{C548FFD1-B75C-427C-9ECE-1CD9CF50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720"/>
    <w:pPr>
      <w:ind w:left="720"/>
      <w:contextualSpacing/>
    </w:pPr>
  </w:style>
  <w:style w:type="character" w:styleId="Hyperlink">
    <w:name w:val="Hyperlink"/>
    <w:basedOn w:val="DefaultParagraphFont"/>
    <w:uiPriority w:val="99"/>
    <w:rsid w:val="00981720"/>
    <w:rPr>
      <w:color w:val="0000FF" w:themeColor="hyperlink"/>
      <w:u w:val="single"/>
    </w:rPr>
  </w:style>
  <w:style w:type="paragraph" w:styleId="BalloonText">
    <w:name w:val="Balloon Text"/>
    <w:basedOn w:val="Normal"/>
    <w:link w:val="BalloonTextChar"/>
    <w:semiHidden/>
    <w:unhideWhenUsed/>
    <w:rsid w:val="009D7596"/>
    <w:rPr>
      <w:rFonts w:ascii="Segoe UI" w:hAnsi="Segoe UI" w:cs="Segoe UI"/>
      <w:sz w:val="18"/>
      <w:szCs w:val="18"/>
    </w:rPr>
  </w:style>
  <w:style w:type="character" w:customStyle="1" w:styleId="BalloonTextChar">
    <w:name w:val="Balloon Text Char"/>
    <w:basedOn w:val="DefaultParagraphFont"/>
    <w:link w:val="BalloonText"/>
    <w:semiHidden/>
    <w:rsid w:val="009D75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jpg@01D4449D.C06007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gital.nhs.uk/data-and-information/publications/statistical/gp-earnings-and-expenses-estimates/2016-17" TargetMode="External"/><Relationship Id="rId12" Type="http://schemas.openxmlformats.org/officeDocument/2006/relationships/image" Target="media/image4.jpe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pcfaudit.co.uk/logi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1.png@01D4449D.44750160" TargetMode="External"/><Relationship Id="rId5" Type="http://schemas.openxmlformats.org/officeDocument/2006/relationships/webSettings" Target="webSettings.xml"/><Relationship Id="rId15" Type="http://schemas.openxmlformats.org/officeDocument/2006/relationships/hyperlink" Target="https://gp-patient.co.uk/surveysandreports"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4449C.04505EF0" TargetMode="External"/><Relationship Id="rId14" Type="http://schemas.openxmlformats.org/officeDocument/2006/relationships/hyperlink" Target="https://digital.nhs.uk/data-and-information/publications/statistical/general-practice-trends-in-the-uk/general-practice-trends-in-the-uk-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BC2F-9F65-4859-A546-8F8121B3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2018-04-12T10:09:00Z</cp:lastPrinted>
  <dcterms:created xsi:type="dcterms:W3CDTF">2018-10-08T13:53:00Z</dcterms:created>
  <dcterms:modified xsi:type="dcterms:W3CDTF">2018-10-08T13:53:00Z</dcterms:modified>
</cp:coreProperties>
</file>